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B649E" w14:textId="77777777" w:rsidR="00C777BE" w:rsidRPr="00C777BE" w:rsidRDefault="00C777BE" w:rsidP="00123974">
      <w:pPr>
        <w:pStyle w:val="Sansinterligne"/>
        <w:spacing w:after="80" w:line="360" w:lineRule="auto"/>
        <w:rPr>
          <w:rFonts w:ascii="Times New Roman" w:hAnsi="Times New Roman" w:cs="Times New Roman"/>
          <w:b/>
          <w:bCs/>
          <w:szCs w:val="20"/>
          <w:lang w:val="en-US"/>
        </w:rPr>
      </w:pPr>
      <w:r w:rsidRPr="00C777BE">
        <w:rPr>
          <w:rFonts w:ascii="Times New Roman" w:hAnsi="Times New Roman" w:cs="Times New Roman"/>
          <w:b/>
          <w:bCs/>
          <w:szCs w:val="20"/>
          <w:lang w:val="en-US"/>
        </w:rPr>
        <w:t>Water–Vapor treatment of Shower Systems in healthcare facilities: An effective protocol to contain the risk of exposure to Legionella of at-risk patients</w:t>
      </w:r>
    </w:p>
    <w:p w14:paraId="588FE294" w14:textId="77777777" w:rsidR="00C777BE" w:rsidRPr="00C777BE" w:rsidRDefault="00C777BE" w:rsidP="00123974">
      <w:pPr>
        <w:pStyle w:val="Sansinterligne"/>
        <w:spacing w:after="80" w:line="360" w:lineRule="auto"/>
        <w:rPr>
          <w:rFonts w:ascii="Times New Roman" w:hAnsi="Times New Roman" w:cs="Times New Roman"/>
          <w:b/>
          <w:bCs/>
          <w:szCs w:val="20"/>
          <w:lang w:val="en-US"/>
        </w:rPr>
      </w:pPr>
    </w:p>
    <w:p w14:paraId="22F43829" w14:textId="77777777" w:rsidR="00C777BE" w:rsidRPr="00C777BE" w:rsidRDefault="00C777BE" w:rsidP="00123974">
      <w:pPr>
        <w:pStyle w:val="Sansinterligne"/>
        <w:spacing w:after="80" w:line="360" w:lineRule="auto"/>
        <w:rPr>
          <w:rFonts w:ascii="Times New Roman" w:hAnsi="Times New Roman" w:cs="Times New Roman"/>
          <w:b/>
          <w:bCs/>
          <w:szCs w:val="20"/>
          <w:lang w:val="en-US"/>
        </w:rPr>
      </w:pPr>
      <w:r w:rsidRPr="00C777BE">
        <w:rPr>
          <w:rFonts w:ascii="Times New Roman" w:hAnsi="Times New Roman" w:cs="Times New Roman"/>
          <w:b/>
          <w:bCs/>
          <w:szCs w:val="20"/>
          <w:lang w:val="en-US"/>
        </w:rPr>
        <w:t>Tian You</w:t>
      </w:r>
      <w:r w:rsidRPr="00C777BE">
        <w:rPr>
          <w:rFonts w:ascii="Times New Roman" w:hAnsi="Times New Roman" w:cs="Times New Roman"/>
          <w:b/>
          <w:bCs/>
          <w:szCs w:val="20"/>
          <w:vertAlign w:val="superscript"/>
          <w:lang w:val="en-US"/>
        </w:rPr>
        <w:t>1†</w:t>
      </w:r>
      <w:r w:rsidRPr="00C777BE">
        <w:rPr>
          <w:rFonts w:ascii="Times New Roman" w:hAnsi="Times New Roman" w:cs="Times New Roman"/>
          <w:b/>
          <w:bCs/>
          <w:szCs w:val="20"/>
          <w:lang w:val="en-US"/>
        </w:rPr>
        <w:t xml:space="preserve">, </w:t>
      </w:r>
      <w:proofErr w:type="spellStart"/>
      <w:r w:rsidRPr="00C777BE">
        <w:rPr>
          <w:rFonts w:ascii="Times New Roman" w:hAnsi="Times New Roman" w:cs="Times New Roman"/>
          <w:b/>
          <w:bCs/>
          <w:szCs w:val="20"/>
          <w:lang w:val="en-US"/>
        </w:rPr>
        <w:t>Pryanka</w:t>
      </w:r>
      <w:proofErr w:type="spellEnd"/>
      <w:r w:rsidRPr="00C777BE">
        <w:rPr>
          <w:rFonts w:ascii="Times New Roman" w:hAnsi="Times New Roman" w:cs="Times New Roman"/>
          <w:b/>
          <w:bCs/>
          <w:szCs w:val="20"/>
          <w:lang w:val="en-US"/>
        </w:rPr>
        <w:t xml:space="preserve"> Parmar</w:t>
      </w:r>
      <w:r w:rsidRPr="00C777BE">
        <w:rPr>
          <w:rFonts w:ascii="Times New Roman" w:hAnsi="Times New Roman" w:cs="Times New Roman"/>
          <w:b/>
          <w:bCs/>
          <w:szCs w:val="20"/>
          <w:vertAlign w:val="superscript"/>
          <w:lang w:val="en-US"/>
        </w:rPr>
        <w:t>1†</w:t>
      </w:r>
      <w:r w:rsidRPr="00C777BE">
        <w:rPr>
          <w:rFonts w:ascii="Times New Roman" w:hAnsi="Times New Roman" w:cs="Times New Roman"/>
          <w:b/>
          <w:bCs/>
          <w:szCs w:val="20"/>
          <w:lang w:val="en-US"/>
        </w:rPr>
        <w:t>, Guillaume Decke</w:t>
      </w:r>
      <w:r w:rsidRPr="00C777BE">
        <w:rPr>
          <w:rFonts w:ascii="Times New Roman" w:hAnsi="Times New Roman" w:cs="Times New Roman"/>
          <w:b/>
          <w:bCs/>
          <w:szCs w:val="20"/>
          <w:vertAlign w:val="superscript"/>
          <w:lang w:val="en-US"/>
        </w:rPr>
        <w:t>2</w:t>
      </w:r>
      <w:r w:rsidRPr="00C777BE">
        <w:rPr>
          <w:rFonts w:ascii="Times New Roman" w:hAnsi="Times New Roman" w:cs="Times New Roman"/>
          <w:b/>
          <w:bCs/>
          <w:szCs w:val="20"/>
          <w:lang w:val="en-US"/>
        </w:rPr>
        <w:t>, Kyle Baikie</w:t>
      </w:r>
      <w:r w:rsidRPr="00C777BE">
        <w:rPr>
          <w:rFonts w:ascii="Times New Roman" w:hAnsi="Times New Roman" w:cs="Times New Roman"/>
          <w:b/>
          <w:bCs/>
          <w:szCs w:val="20"/>
          <w:vertAlign w:val="superscript"/>
          <w:lang w:val="en-US"/>
        </w:rPr>
        <w:t>1</w:t>
      </w:r>
      <w:r w:rsidRPr="00C777BE">
        <w:rPr>
          <w:rFonts w:ascii="Times New Roman" w:hAnsi="Times New Roman" w:cs="Times New Roman"/>
          <w:b/>
          <w:bCs/>
          <w:szCs w:val="20"/>
          <w:lang w:val="en-US"/>
        </w:rPr>
        <w:t>, Lilian Ryckewaert</w:t>
      </w:r>
      <w:r w:rsidRPr="00C777BE">
        <w:rPr>
          <w:rFonts w:ascii="Times New Roman" w:hAnsi="Times New Roman" w:cs="Times New Roman"/>
          <w:b/>
          <w:bCs/>
          <w:szCs w:val="20"/>
          <w:vertAlign w:val="superscript"/>
          <w:lang w:val="en-US"/>
        </w:rPr>
        <w:t>1,2</w:t>
      </w:r>
      <w:r w:rsidRPr="00C777BE">
        <w:rPr>
          <w:rFonts w:ascii="Times New Roman" w:hAnsi="Times New Roman" w:cs="Times New Roman"/>
          <w:b/>
          <w:bCs/>
          <w:szCs w:val="20"/>
          <w:lang w:val="en-US"/>
        </w:rPr>
        <w:t>, Alexis Marette</w:t>
      </w:r>
      <w:r w:rsidRPr="00C777BE">
        <w:rPr>
          <w:rFonts w:ascii="Times New Roman" w:hAnsi="Times New Roman" w:cs="Times New Roman"/>
          <w:b/>
          <w:bCs/>
          <w:szCs w:val="20"/>
          <w:vertAlign w:val="superscript"/>
          <w:lang w:val="en-US"/>
        </w:rPr>
        <w:t>2</w:t>
      </w:r>
      <w:r w:rsidRPr="00C777BE">
        <w:rPr>
          <w:rFonts w:ascii="Times New Roman" w:hAnsi="Times New Roman" w:cs="Times New Roman"/>
          <w:b/>
          <w:bCs/>
          <w:szCs w:val="20"/>
          <w:lang w:val="en-US"/>
        </w:rPr>
        <w:t>, Hélène Niculita-Hirzel</w:t>
      </w:r>
      <w:r w:rsidRPr="00C777BE">
        <w:rPr>
          <w:rFonts w:ascii="Times New Roman" w:hAnsi="Times New Roman" w:cs="Times New Roman"/>
          <w:b/>
          <w:bCs/>
          <w:szCs w:val="20"/>
          <w:vertAlign w:val="superscript"/>
          <w:lang w:val="en-US"/>
        </w:rPr>
        <w:t>1*</w:t>
      </w:r>
    </w:p>
    <w:p w14:paraId="03F7DBC5" w14:textId="77777777" w:rsidR="00C777BE" w:rsidRDefault="00C777BE" w:rsidP="00123974">
      <w:pPr>
        <w:pStyle w:val="Sansinterligne"/>
        <w:spacing w:after="80" w:line="360" w:lineRule="auto"/>
        <w:jc w:val="both"/>
        <w:rPr>
          <w:rFonts w:ascii="Times New Roman" w:hAnsi="Times New Roman" w:cs="Times New Roman"/>
          <w:b/>
          <w:bCs/>
          <w:szCs w:val="20"/>
          <w:lang w:val="en-US"/>
        </w:rPr>
      </w:pPr>
    </w:p>
    <w:p w14:paraId="7B06A903" w14:textId="533A706D" w:rsidR="007525E1" w:rsidRPr="00C777BE" w:rsidRDefault="007525E1" w:rsidP="00123974">
      <w:pPr>
        <w:pStyle w:val="Sansinterligne"/>
        <w:spacing w:after="80" w:line="360" w:lineRule="auto"/>
        <w:jc w:val="both"/>
        <w:rPr>
          <w:rFonts w:ascii="Times New Roman" w:hAnsi="Times New Roman" w:cs="Times New Roman"/>
          <w:b/>
          <w:bCs/>
          <w:szCs w:val="20"/>
          <w:lang w:val="en-US"/>
        </w:rPr>
      </w:pPr>
      <w:r w:rsidRPr="00C777BE">
        <w:rPr>
          <w:rFonts w:ascii="Times New Roman" w:hAnsi="Times New Roman" w:cs="Times New Roman"/>
          <w:b/>
          <w:bCs/>
          <w:szCs w:val="20"/>
          <w:lang w:val="en-US"/>
        </w:rPr>
        <w:t>Material and Methods</w:t>
      </w:r>
    </w:p>
    <w:p w14:paraId="503A9531"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p>
    <w:p w14:paraId="1CB0A09B" w14:textId="445B3B81" w:rsidR="007525E1" w:rsidRPr="00C777BE" w:rsidRDefault="007525E1" w:rsidP="00123974">
      <w:pPr>
        <w:pStyle w:val="Sansinterligne"/>
        <w:spacing w:after="80" w:line="360" w:lineRule="auto"/>
        <w:jc w:val="both"/>
        <w:rPr>
          <w:rFonts w:ascii="Times New Roman" w:hAnsi="Times New Roman" w:cs="Times New Roman"/>
          <w:b/>
          <w:bCs/>
          <w:szCs w:val="20"/>
          <w:lang w:val="en-US"/>
        </w:rPr>
      </w:pPr>
      <w:r w:rsidRPr="00C777BE">
        <w:rPr>
          <w:rFonts w:ascii="Times New Roman" w:hAnsi="Times New Roman" w:cs="Times New Roman"/>
          <w:b/>
          <w:bCs/>
          <w:szCs w:val="20"/>
          <w:lang w:val="en-US"/>
        </w:rPr>
        <w:t>Experimental design</w:t>
      </w:r>
    </w:p>
    <w:p w14:paraId="5ACF6318" w14:textId="0832E96D" w:rsidR="007525E1" w:rsidRPr="00C777BE" w:rsidRDefault="007525E1" w:rsidP="00123974">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t xml:space="preserve">Shower systems were installed in replicate across 5 different settings. In the healthcare facility in Lausanne (University hospital of Lausanne, Switzerland) and in the nursing home in St-Etienne (France) shower units were installed in triplicate for each treatment condition (no treatment, water-vapor treatment, or conventional thermal disinfection) and for each biofilm age targeted for sampling. In the domestic settings, three residential setting located in Nods, Nidau and </w:t>
      </w:r>
      <w:proofErr w:type="spellStart"/>
      <w:r w:rsidRPr="00C777BE">
        <w:rPr>
          <w:rFonts w:ascii="Times New Roman" w:hAnsi="Times New Roman" w:cs="Times New Roman"/>
          <w:szCs w:val="20"/>
          <w:lang w:val="en-US"/>
        </w:rPr>
        <w:t>Prêles</w:t>
      </w:r>
      <w:proofErr w:type="spellEnd"/>
      <w:r w:rsidRPr="00C777BE">
        <w:rPr>
          <w:rFonts w:ascii="Times New Roman" w:hAnsi="Times New Roman" w:cs="Times New Roman"/>
          <w:szCs w:val="20"/>
          <w:lang w:val="en-US"/>
        </w:rPr>
        <w:t xml:space="preserve"> (Switzerland) were selected based on the presence of at least two independent shower cabins per building, allowing for paired comparisons between treated and untreated conditions. </w:t>
      </w:r>
    </w:p>
    <w:p w14:paraId="3F0E2DB4" w14:textId="5CB3D6A3" w:rsidR="007525E1" w:rsidRPr="00C777BE" w:rsidRDefault="007525E1" w:rsidP="00123974">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t xml:space="preserve">At 5 weeks, 32 weeks, 52 weeks and 104 weeks, shower systems were collected. </w:t>
      </w:r>
      <w:r w:rsidR="00123974">
        <w:rPr>
          <w:rFonts w:ascii="Times New Roman" w:hAnsi="Times New Roman" w:cs="Times New Roman"/>
          <w:szCs w:val="20"/>
          <w:lang w:val="en-US"/>
        </w:rPr>
        <w:t>In locations other than Lausanne, v</w:t>
      </w:r>
      <w:r w:rsidRPr="00C777BE">
        <w:rPr>
          <w:rFonts w:ascii="Times New Roman" w:hAnsi="Times New Roman" w:cs="Times New Roman"/>
          <w:szCs w:val="20"/>
          <w:lang w:val="en-US"/>
        </w:rPr>
        <w:t xml:space="preserve">olunteers were instructed to detach the shower hoses from all fittings. After removal, the hoses were filled with </w:t>
      </w:r>
      <w:r w:rsidR="00123974">
        <w:rPr>
          <w:rFonts w:ascii="Times New Roman" w:hAnsi="Times New Roman" w:cs="Times New Roman"/>
          <w:szCs w:val="20"/>
          <w:lang w:val="en-US"/>
        </w:rPr>
        <w:t xml:space="preserve">tap </w:t>
      </w:r>
      <w:r w:rsidRPr="00C777BE">
        <w:rPr>
          <w:rFonts w:ascii="Times New Roman" w:hAnsi="Times New Roman" w:cs="Times New Roman"/>
          <w:szCs w:val="20"/>
          <w:lang w:val="en-US"/>
        </w:rPr>
        <w:t>water to preserve moisture on the internal surfaces, sealed with screw caps, and transported to the laboratory within 24 h. Once in the laboratory, paired biofilms were either directly extracted or subjected to a single water-vapor treatment</w:t>
      </w:r>
      <w:r w:rsidR="00123974">
        <w:rPr>
          <w:rFonts w:ascii="Times New Roman" w:hAnsi="Times New Roman" w:cs="Times New Roman"/>
          <w:szCs w:val="20"/>
          <w:lang w:val="en-US"/>
        </w:rPr>
        <w:t xml:space="preserve">. In the experimental shower of </w:t>
      </w:r>
      <w:proofErr w:type="spellStart"/>
      <w:r w:rsidR="00123974">
        <w:rPr>
          <w:rFonts w:ascii="Times New Roman" w:hAnsi="Times New Roman" w:cs="Times New Roman"/>
          <w:szCs w:val="20"/>
          <w:lang w:val="en-US"/>
        </w:rPr>
        <w:t>Unisanté’s</w:t>
      </w:r>
      <w:proofErr w:type="spellEnd"/>
      <w:r w:rsidR="00123974">
        <w:rPr>
          <w:rFonts w:ascii="Times New Roman" w:hAnsi="Times New Roman" w:cs="Times New Roman"/>
          <w:szCs w:val="20"/>
          <w:lang w:val="en-US"/>
        </w:rPr>
        <w:t xml:space="preserve"> laboratory, </w:t>
      </w:r>
      <w:r w:rsidR="00123974" w:rsidRPr="00C777BE">
        <w:rPr>
          <w:rFonts w:ascii="Times New Roman" w:hAnsi="Times New Roman" w:cs="Times New Roman"/>
          <w:szCs w:val="20"/>
          <w:lang w:val="en-US"/>
        </w:rPr>
        <w:t>paired biofilms were either directly extracted or subjected to a single treatment either water-vapor treatment</w:t>
      </w:r>
      <w:r w:rsidRPr="00C777BE">
        <w:rPr>
          <w:rFonts w:ascii="Times New Roman" w:hAnsi="Times New Roman" w:cs="Times New Roman"/>
          <w:szCs w:val="20"/>
          <w:lang w:val="en-US"/>
        </w:rPr>
        <w:t xml:space="preserve"> or thermal disinfection prior to extraction. To assess the effects of repeated weakly water-vapor treatments, biofilms aged 32 weeks were treated once per week for four consecutive weeks, one sample was extracted after each treatment.     </w:t>
      </w:r>
    </w:p>
    <w:p w14:paraId="1DFC329A" w14:textId="47DCEB44" w:rsidR="007525E1" w:rsidRPr="00C777BE" w:rsidRDefault="007525E1" w:rsidP="00123974">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t>The efficacy of the treatment in removing biofilm from hoses was visualized by scanning electron microscopy on 1</w:t>
      </w:r>
      <w:r w:rsidR="00123974">
        <w:rPr>
          <w:rFonts w:ascii="Times New Roman" w:hAnsi="Times New Roman" w:cs="Times New Roman"/>
          <w:szCs w:val="20"/>
          <w:lang w:val="en-US"/>
        </w:rPr>
        <w:t>x1</w:t>
      </w:r>
      <w:r w:rsidRPr="00C777BE">
        <w:rPr>
          <w:rFonts w:ascii="Times New Roman" w:hAnsi="Times New Roman" w:cs="Times New Roman"/>
          <w:szCs w:val="20"/>
          <w:lang w:val="en-US"/>
        </w:rPr>
        <w:t xml:space="preserve"> cm</w:t>
      </w:r>
      <w:r w:rsidR="00BE53B6">
        <w:rPr>
          <w:rFonts w:ascii="Times New Roman" w:hAnsi="Times New Roman" w:cs="Times New Roman"/>
          <w:szCs w:val="20"/>
          <w:vertAlign w:val="superscript"/>
          <w:lang w:val="en-US"/>
        </w:rPr>
        <w:t>2</w:t>
      </w:r>
      <w:r w:rsidRPr="00C777BE">
        <w:rPr>
          <w:rFonts w:ascii="Times New Roman" w:hAnsi="Times New Roman" w:cs="Times New Roman"/>
          <w:szCs w:val="20"/>
          <w:lang w:val="en-US"/>
        </w:rPr>
        <w:t xml:space="preserve"> sections cut from both extremities and the center of each hose. Biofilms from the remaining hose sections were extracted. Total cell counts were determined by flow cytometry using SYBR green and </w:t>
      </w:r>
      <w:proofErr w:type="spellStart"/>
      <w:r w:rsidRPr="00C777BE">
        <w:rPr>
          <w:rFonts w:ascii="Times New Roman" w:hAnsi="Times New Roman" w:cs="Times New Roman"/>
          <w:szCs w:val="20"/>
          <w:lang w:val="en-US"/>
        </w:rPr>
        <w:t>PicoGreen</w:t>
      </w:r>
      <w:proofErr w:type="spellEnd"/>
      <w:r w:rsidRPr="00C777BE">
        <w:rPr>
          <w:rFonts w:ascii="Times New Roman" w:hAnsi="Times New Roman" w:cs="Times New Roman"/>
          <w:szCs w:val="20"/>
          <w:lang w:val="en-US"/>
        </w:rPr>
        <w:t>-stained aliquots, and metal concentration by inductively coupled plasma mass spectrometry (ICP-MS) following previously published protocol</w:t>
      </w:r>
      <w:r w:rsidR="00F23726">
        <w:rPr>
          <w:rFonts w:ascii="Times New Roman" w:hAnsi="Times New Roman" w:cs="Times New Roman"/>
          <w:szCs w:val="20"/>
          <w:lang w:val="en-US"/>
        </w:rPr>
        <w:t>s</w:t>
      </w:r>
      <w:r w:rsidRPr="00C777BE">
        <w:rPr>
          <w:rFonts w:ascii="Times New Roman" w:hAnsi="Times New Roman" w:cs="Times New Roman"/>
          <w:szCs w:val="20"/>
          <w:lang w:val="en-US"/>
        </w:rPr>
        <w:t xml:space="preserve">. Microbiome community composition was assessed by 16S rRNA gene amplicon sequencing targeting the V3-V4 regions, using the Illumina </w:t>
      </w:r>
      <w:proofErr w:type="spellStart"/>
      <w:r w:rsidRPr="00C777BE">
        <w:rPr>
          <w:rFonts w:ascii="Times New Roman" w:hAnsi="Times New Roman" w:cs="Times New Roman"/>
          <w:szCs w:val="20"/>
          <w:lang w:val="en-US"/>
        </w:rPr>
        <w:t>MiSeq</w:t>
      </w:r>
      <w:proofErr w:type="spellEnd"/>
      <w:r w:rsidRPr="00C777BE">
        <w:rPr>
          <w:rFonts w:ascii="Times New Roman" w:hAnsi="Times New Roman" w:cs="Times New Roman"/>
          <w:szCs w:val="20"/>
          <w:lang w:val="en-US"/>
        </w:rPr>
        <w:t xml:space="preserve"> </w:t>
      </w:r>
      <w:proofErr w:type="spellStart"/>
      <w:r w:rsidRPr="00C777BE">
        <w:rPr>
          <w:rFonts w:ascii="Times New Roman" w:hAnsi="Times New Roman" w:cs="Times New Roman"/>
          <w:szCs w:val="20"/>
          <w:lang w:val="en-US"/>
        </w:rPr>
        <w:t>plateform</w:t>
      </w:r>
      <w:proofErr w:type="spellEnd"/>
      <w:r w:rsidRPr="00C777BE">
        <w:rPr>
          <w:rFonts w:ascii="Times New Roman" w:hAnsi="Times New Roman" w:cs="Times New Roman"/>
          <w:szCs w:val="20"/>
          <w:lang w:val="en-US"/>
        </w:rPr>
        <w:t>, when sufficient DNA was available. ICP-MS analysis w</w:t>
      </w:r>
      <w:r w:rsidR="00CB0AEE">
        <w:rPr>
          <w:rFonts w:ascii="Times New Roman" w:hAnsi="Times New Roman" w:cs="Times New Roman"/>
          <w:szCs w:val="20"/>
          <w:lang w:val="en-US"/>
        </w:rPr>
        <w:t>as</w:t>
      </w:r>
      <w:r w:rsidRPr="00C777BE">
        <w:rPr>
          <w:rFonts w:ascii="Times New Roman" w:hAnsi="Times New Roman" w:cs="Times New Roman"/>
          <w:szCs w:val="20"/>
          <w:lang w:val="en-US"/>
        </w:rPr>
        <w:t xml:space="preserve"> performed by the Forensic Toxicology and Chemistry Unit (UTCF) at CHUV, and sequencing by Microsynth (Switzerland). </w:t>
      </w:r>
    </w:p>
    <w:p w14:paraId="6F2DFA1C"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p>
    <w:p w14:paraId="51E0FEE7" w14:textId="3BA7AFD6" w:rsidR="007525E1" w:rsidRPr="00C777BE" w:rsidRDefault="007525E1" w:rsidP="00123974">
      <w:pPr>
        <w:pStyle w:val="Sansinterligne"/>
        <w:spacing w:after="80" w:line="360" w:lineRule="auto"/>
        <w:jc w:val="both"/>
        <w:rPr>
          <w:rFonts w:ascii="Times New Roman" w:hAnsi="Times New Roman" w:cs="Times New Roman"/>
          <w:b/>
          <w:bCs/>
          <w:szCs w:val="20"/>
          <w:lang w:val="en-US"/>
        </w:rPr>
      </w:pPr>
      <w:r w:rsidRPr="00C777BE">
        <w:rPr>
          <w:rFonts w:ascii="Times New Roman" w:hAnsi="Times New Roman" w:cs="Times New Roman"/>
          <w:b/>
          <w:bCs/>
          <w:szCs w:val="20"/>
          <w:lang w:val="en-US"/>
        </w:rPr>
        <w:t xml:space="preserve">Shower </w:t>
      </w:r>
      <w:bookmarkStart w:id="0" w:name="_Hlk204770798"/>
      <w:r w:rsidRPr="00C777BE">
        <w:rPr>
          <w:rFonts w:ascii="Times New Roman" w:hAnsi="Times New Roman" w:cs="Times New Roman"/>
          <w:b/>
          <w:bCs/>
          <w:szCs w:val="20"/>
          <w:lang w:val="en-US"/>
        </w:rPr>
        <w:t xml:space="preserve">system </w:t>
      </w:r>
      <w:r w:rsidR="00123974">
        <w:rPr>
          <w:rFonts w:ascii="Times New Roman" w:hAnsi="Times New Roman" w:cs="Times New Roman"/>
          <w:b/>
          <w:bCs/>
          <w:szCs w:val="20"/>
          <w:lang w:val="en-US"/>
        </w:rPr>
        <w:t xml:space="preserve">characteristics </w:t>
      </w:r>
      <w:r w:rsidRPr="00C777BE">
        <w:rPr>
          <w:rFonts w:ascii="Times New Roman" w:hAnsi="Times New Roman" w:cs="Times New Roman"/>
          <w:b/>
          <w:bCs/>
          <w:szCs w:val="20"/>
          <w:lang w:val="en-US"/>
        </w:rPr>
        <w:t>and treatment conditions</w:t>
      </w:r>
    </w:p>
    <w:bookmarkEnd w:id="0"/>
    <w:p w14:paraId="3F9FD223" w14:textId="56195EC1" w:rsidR="007525E1" w:rsidRPr="00C777BE" w:rsidRDefault="00123974" w:rsidP="00123974">
      <w:pPr>
        <w:pStyle w:val="Sansinterligne"/>
        <w:spacing w:after="80" w:line="360" w:lineRule="auto"/>
        <w:jc w:val="both"/>
        <w:rPr>
          <w:rFonts w:ascii="Times New Roman" w:hAnsi="Times New Roman" w:cs="Times New Roman"/>
          <w:szCs w:val="20"/>
          <w:lang w:val="en-US"/>
        </w:rPr>
      </w:pPr>
      <w:r>
        <w:rPr>
          <w:rFonts w:ascii="Times New Roman" w:hAnsi="Times New Roman" w:cs="Times New Roman"/>
          <w:szCs w:val="20"/>
          <w:lang w:val="en-US"/>
        </w:rPr>
        <w:t>Each</w:t>
      </w:r>
      <w:r w:rsidR="007525E1" w:rsidRPr="00C777BE">
        <w:rPr>
          <w:rFonts w:ascii="Times New Roman" w:hAnsi="Times New Roman" w:cs="Times New Roman"/>
          <w:szCs w:val="20"/>
          <w:lang w:val="en-US"/>
        </w:rPr>
        <w:t xml:space="preserve"> shower system </w:t>
      </w:r>
      <w:r>
        <w:rPr>
          <w:rFonts w:ascii="Times New Roman" w:hAnsi="Times New Roman" w:cs="Times New Roman"/>
          <w:szCs w:val="20"/>
          <w:lang w:val="en-US"/>
        </w:rPr>
        <w:t>wa</w:t>
      </w:r>
      <w:r w:rsidR="007525E1" w:rsidRPr="00C777BE">
        <w:rPr>
          <w:rFonts w:ascii="Times New Roman" w:hAnsi="Times New Roman" w:cs="Times New Roman"/>
          <w:szCs w:val="20"/>
          <w:lang w:val="en-US"/>
        </w:rPr>
        <w:t xml:space="preserve">s composed of a Polyvinyl Chloride (PVC) flexible shower hose (180 cm long and of a diameter of 9 mm), and a low water and energy consumption showerhead </w:t>
      </w:r>
      <w:r>
        <w:rPr>
          <w:rFonts w:ascii="Times New Roman" w:hAnsi="Times New Roman" w:cs="Times New Roman"/>
          <w:szCs w:val="20"/>
          <w:lang w:val="en-US"/>
        </w:rPr>
        <w:t>with</w:t>
      </w:r>
      <w:r w:rsidRPr="00C777BE">
        <w:rPr>
          <w:rFonts w:ascii="Times New Roman" w:hAnsi="Times New Roman" w:cs="Times New Roman"/>
          <w:szCs w:val="20"/>
          <w:lang w:val="en-US"/>
        </w:rPr>
        <w:t xml:space="preserve"> six 1.1 mm nozzles </w:t>
      </w:r>
      <w:r w:rsidR="007525E1" w:rsidRPr="00C777BE">
        <w:rPr>
          <w:rFonts w:ascii="Times New Roman" w:hAnsi="Times New Roman" w:cs="Times New Roman"/>
          <w:szCs w:val="20"/>
          <w:lang w:val="en-US"/>
        </w:rPr>
        <w:t xml:space="preserve">based on water-atomizing technology. The water flow is 5.2 L/min. </w:t>
      </w:r>
    </w:p>
    <w:p w14:paraId="714D69F8"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lastRenderedPageBreak/>
        <w:t xml:space="preserve">The protocol of water-vapor treatment consisted in an automated sequence alternating between flash of tap water and 120℃ high-pressure vapor injection through the shower hose initiated at the water inlet connection point. The vapor was generated with a Swiss commercial steam machine (Power (W) 2200, water-heating time=3 min, volume=1 L). The sequence consisted in, first, a flush of water at 37℃ for 10 seconds, then an injection of </w:t>
      </w:r>
      <w:proofErr w:type="gramStart"/>
      <w:r w:rsidRPr="00C777BE">
        <w:rPr>
          <w:rFonts w:ascii="Times New Roman" w:hAnsi="Times New Roman" w:cs="Times New Roman"/>
          <w:szCs w:val="20"/>
          <w:lang w:val="en-US"/>
        </w:rPr>
        <w:t>high pressure</w:t>
      </w:r>
      <w:proofErr w:type="gramEnd"/>
      <w:r w:rsidRPr="00C777BE">
        <w:rPr>
          <w:rFonts w:ascii="Times New Roman" w:hAnsi="Times New Roman" w:cs="Times New Roman"/>
          <w:szCs w:val="20"/>
          <w:lang w:val="en-US"/>
        </w:rPr>
        <w:t xml:space="preserve"> vapor for 30 seconds. The water-vapor cycle is repeated 4 times. After the 4th cycle, water flash into the hose for 10 seconds followed by 1 minutes of </w:t>
      </w:r>
      <w:proofErr w:type="gramStart"/>
      <w:r w:rsidRPr="00C777BE">
        <w:rPr>
          <w:rFonts w:ascii="Times New Roman" w:hAnsi="Times New Roman" w:cs="Times New Roman"/>
          <w:szCs w:val="20"/>
          <w:lang w:val="en-US"/>
        </w:rPr>
        <w:t>high pressure</w:t>
      </w:r>
      <w:proofErr w:type="gramEnd"/>
      <w:r w:rsidRPr="00C777BE">
        <w:rPr>
          <w:rFonts w:ascii="Times New Roman" w:hAnsi="Times New Roman" w:cs="Times New Roman"/>
          <w:szCs w:val="20"/>
          <w:lang w:val="en-US"/>
        </w:rPr>
        <w:t xml:space="preserve"> vapor at 120℃.</w:t>
      </w:r>
    </w:p>
    <w:p w14:paraId="41E74674" w14:textId="26526BDD" w:rsidR="007525E1" w:rsidRPr="00C777BE" w:rsidRDefault="007525E1" w:rsidP="00123974">
      <w:pPr>
        <w:pStyle w:val="Sansinterligne"/>
        <w:spacing w:after="80" w:line="360" w:lineRule="auto"/>
        <w:jc w:val="both"/>
        <w:rPr>
          <w:rFonts w:ascii="Times New Roman" w:hAnsi="Times New Roman" w:cs="Times New Roman"/>
          <w:szCs w:val="20"/>
          <w:lang w:val="en-US"/>
        </w:rPr>
      </w:pPr>
      <w:bookmarkStart w:id="1" w:name="_Hlk204770871"/>
      <w:r w:rsidRPr="00C777BE">
        <w:rPr>
          <w:rFonts w:ascii="Times New Roman" w:hAnsi="Times New Roman" w:cs="Times New Roman"/>
          <w:szCs w:val="20"/>
          <w:lang w:val="en-US"/>
        </w:rPr>
        <w:t xml:space="preserve">The protocol of hot water </w:t>
      </w:r>
      <w:r w:rsidRPr="00C777BE">
        <w:rPr>
          <w:rFonts w:ascii="Times New Roman" w:hAnsi="Times New Roman" w:cs="Times New Roman"/>
          <w:szCs w:val="20"/>
          <w:lang w:val="en-US"/>
        </w:rPr>
        <w:t>disinfection</w:t>
      </w:r>
      <w:r w:rsidRPr="00C777BE">
        <w:rPr>
          <w:rFonts w:ascii="Times New Roman" w:hAnsi="Times New Roman" w:cs="Times New Roman"/>
          <w:szCs w:val="20"/>
          <w:lang w:val="en-US"/>
        </w:rPr>
        <w:t xml:space="preserve"> consisted in running hot water at 65°C for 10 min.</w:t>
      </w:r>
    </w:p>
    <w:bookmarkEnd w:id="1"/>
    <w:p w14:paraId="6086B79D"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p>
    <w:p w14:paraId="2B3EFC52" w14:textId="77777777" w:rsidR="007525E1" w:rsidRPr="00C777BE" w:rsidRDefault="007525E1" w:rsidP="00123974">
      <w:pPr>
        <w:pStyle w:val="Sansinterligne"/>
        <w:spacing w:after="80" w:line="360" w:lineRule="auto"/>
        <w:jc w:val="both"/>
        <w:rPr>
          <w:rFonts w:ascii="Times New Roman" w:hAnsi="Times New Roman" w:cs="Times New Roman"/>
          <w:b/>
          <w:bCs/>
          <w:szCs w:val="20"/>
          <w:lang w:val="en-US"/>
        </w:rPr>
      </w:pPr>
      <w:r w:rsidRPr="00C777BE">
        <w:rPr>
          <w:rFonts w:ascii="Times New Roman" w:hAnsi="Times New Roman" w:cs="Times New Roman"/>
          <w:b/>
          <w:bCs/>
          <w:szCs w:val="20"/>
          <w:lang w:val="en-US"/>
        </w:rPr>
        <w:t>Conditions of Biofilm growth</w:t>
      </w:r>
    </w:p>
    <w:p w14:paraId="2A629A0D" w14:textId="279F5854" w:rsidR="007525E1" w:rsidRPr="00C777BE" w:rsidRDefault="007525E1" w:rsidP="00123974">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t xml:space="preserve">The shower systems were vertically hung. A shower event was run for three minutes during working days (five days a week) with a water temperature of 37 °C ± 2 °C to allow biofilm growth in shower systems. The system does not allow for the draining of water in the shower system. </w:t>
      </w:r>
    </w:p>
    <w:p w14:paraId="150E1B14" w14:textId="77777777" w:rsidR="00C777BE" w:rsidRPr="00C777BE" w:rsidRDefault="00C777BE" w:rsidP="00123974">
      <w:pPr>
        <w:pStyle w:val="Sansinterligne"/>
        <w:spacing w:after="80" w:line="360" w:lineRule="auto"/>
        <w:jc w:val="both"/>
        <w:rPr>
          <w:rFonts w:ascii="Times New Roman" w:hAnsi="Times New Roman" w:cs="Times New Roman"/>
          <w:szCs w:val="20"/>
          <w:lang w:val="en-US"/>
        </w:rPr>
      </w:pPr>
    </w:p>
    <w:p w14:paraId="298C96B3" w14:textId="77777777" w:rsidR="00C777BE" w:rsidRPr="00C777BE" w:rsidRDefault="00C777BE" w:rsidP="00123974">
      <w:pPr>
        <w:spacing w:after="80" w:line="360" w:lineRule="auto"/>
        <w:rPr>
          <w:rFonts w:ascii="Times New Roman" w:hAnsi="Times New Roman" w:cs="Times New Roman"/>
          <w:b/>
          <w:bCs/>
          <w:sz w:val="20"/>
          <w:szCs w:val="20"/>
        </w:rPr>
      </w:pPr>
      <w:r w:rsidRPr="00C777BE">
        <w:rPr>
          <w:rFonts w:ascii="Times New Roman" w:hAnsi="Times New Roman" w:cs="Times New Roman"/>
          <w:b/>
          <w:bCs/>
          <w:sz w:val="20"/>
          <w:szCs w:val="20"/>
        </w:rPr>
        <w:t>Biofilm Visualization with Scanning Electron Microscopy</w:t>
      </w:r>
    </w:p>
    <w:p w14:paraId="5CCC6D5E" w14:textId="72C73270" w:rsidR="00C777BE" w:rsidRPr="00C777BE" w:rsidRDefault="00C777BE" w:rsidP="003C5DEC">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1x1 cm</w:t>
      </w:r>
      <w:r w:rsidRPr="00123974">
        <w:rPr>
          <w:rFonts w:ascii="Times New Roman" w:hAnsi="Times New Roman" w:cs="Times New Roman"/>
          <w:sz w:val="20"/>
          <w:szCs w:val="20"/>
          <w:vertAlign w:val="superscript"/>
        </w:rPr>
        <w:t>2</w:t>
      </w:r>
      <w:r w:rsidRPr="00C777BE">
        <w:rPr>
          <w:rFonts w:ascii="Times New Roman" w:hAnsi="Times New Roman" w:cs="Times New Roman"/>
          <w:sz w:val="20"/>
          <w:szCs w:val="20"/>
        </w:rPr>
        <w:t xml:space="preserve"> </w:t>
      </w:r>
      <w:r w:rsidR="00BE53B6" w:rsidRPr="00C777BE">
        <w:rPr>
          <w:rFonts w:ascii="Times New Roman" w:hAnsi="Times New Roman" w:cs="Times New Roman"/>
          <w:sz w:val="20"/>
          <w:szCs w:val="20"/>
        </w:rPr>
        <w:t>sections cut from both extremities and the center of each hose</w:t>
      </w:r>
      <w:r w:rsidR="00BE53B6" w:rsidRPr="00C777BE">
        <w:rPr>
          <w:rFonts w:ascii="Times New Roman" w:hAnsi="Times New Roman" w:cs="Times New Roman"/>
          <w:sz w:val="20"/>
          <w:szCs w:val="20"/>
        </w:rPr>
        <w:t xml:space="preserve"> </w:t>
      </w:r>
      <w:r w:rsidRPr="00C777BE">
        <w:rPr>
          <w:rFonts w:ascii="Times New Roman" w:hAnsi="Times New Roman" w:cs="Times New Roman"/>
          <w:sz w:val="20"/>
          <w:szCs w:val="20"/>
        </w:rPr>
        <w:t xml:space="preserve">were prepared for scanning electron microscopy (SEM). </w:t>
      </w:r>
      <w:r w:rsidR="00BE53B6">
        <w:rPr>
          <w:rFonts w:ascii="Times New Roman" w:hAnsi="Times New Roman" w:cs="Times New Roman"/>
          <w:sz w:val="20"/>
          <w:szCs w:val="20"/>
        </w:rPr>
        <w:t xml:space="preserve">Samples were fixed </w:t>
      </w:r>
      <w:r w:rsidR="00A9020A">
        <w:rPr>
          <w:rFonts w:ascii="Times New Roman" w:hAnsi="Times New Roman" w:cs="Times New Roman"/>
          <w:sz w:val="20"/>
          <w:szCs w:val="20"/>
        </w:rPr>
        <w:t>in 2.5% Glutaraldehyde / Cacodylate buffer (0.1 M, pH 7.2)</w:t>
      </w:r>
      <w:r w:rsidR="00A9020A">
        <w:rPr>
          <w:rFonts w:ascii="Times New Roman" w:hAnsi="Times New Roman" w:cs="Times New Roman"/>
          <w:sz w:val="20"/>
          <w:szCs w:val="20"/>
        </w:rPr>
        <w:t xml:space="preserve"> and stored at 4°C. </w:t>
      </w:r>
      <w:r w:rsidRPr="00C777BE">
        <w:rPr>
          <w:rFonts w:ascii="Times New Roman" w:hAnsi="Times New Roman" w:cs="Times New Roman"/>
          <w:sz w:val="20"/>
          <w:szCs w:val="20"/>
        </w:rPr>
        <w:t xml:space="preserve">Prior </w:t>
      </w:r>
      <w:r w:rsidR="00A9020A">
        <w:rPr>
          <w:rFonts w:ascii="Times New Roman" w:hAnsi="Times New Roman" w:cs="Times New Roman"/>
          <w:sz w:val="20"/>
          <w:szCs w:val="20"/>
        </w:rPr>
        <w:t>to imaging</w:t>
      </w:r>
      <w:r w:rsidRPr="00C777BE">
        <w:rPr>
          <w:rFonts w:ascii="Times New Roman" w:hAnsi="Times New Roman" w:cs="Times New Roman"/>
          <w:sz w:val="20"/>
          <w:szCs w:val="20"/>
        </w:rPr>
        <w:t>, the fixed samples were washed three times for 3 minutes with 1 mL of 0.05 mM sodium cacodylate buffer</w:t>
      </w:r>
      <w:r w:rsidR="00A9020A">
        <w:rPr>
          <w:rFonts w:ascii="Times New Roman" w:hAnsi="Times New Roman" w:cs="Times New Roman"/>
          <w:sz w:val="20"/>
          <w:szCs w:val="20"/>
        </w:rPr>
        <w:t>,</w:t>
      </w:r>
      <w:r w:rsidRPr="00C777BE">
        <w:rPr>
          <w:rFonts w:ascii="Times New Roman" w:hAnsi="Times New Roman" w:cs="Times New Roman"/>
          <w:sz w:val="20"/>
          <w:szCs w:val="20"/>
        </w:rPr>
        <w:t xml:space="preserve"> dehydrated </w:t>
      </w:r>
      <w:r w:rsidR="00A9020A">
        <w:rPr>
          <w:rFonts w:ascii="Times New Roman" w:hAnsi="Times New Roman" w:cs="Times New Roman"/>
          <w:sz w:val="20"/>
          <w:szCs w:val="20"/>
        </w:rPr>
        <w:t>through</w:t>
      </w:r>
      <w:r w:rsidRPr="00C777BE">
        <w:rPr>
          <w:rFonts w:ascii="Times New Roman" w:hAnsi="Times New Roman" w:cs="Times New Roman"/>
          <w:sz w:val="20"/>
          <w:szCs w:val="20"/>
        </w:rPr>
        <w:t xml:space="preserve"> </w:t>
      </w:r>
      <w:r w:rsidR="00A9020A">
        <w:rPr>
          <w:rFonts w:ascii="Times New Roman" w:hAnsi="Times New Roman" w:cs="Times New Roman"/>
          <w:sz w:val="20"/>
          <w:szCs w:val="20"/>
        </w:rPr>
        <w:t xml:space="preserve">serial concentration of ethanol </w:t>
      </w:r>
      <w:r w:rsidRPr="00C777BE">
        <w:rPr>
          <w:rFonts w:ascii="Times New Roman" w:hAnsi="Times New Roman" w:cs="Times New Roman"/>
          <w:sz w:val="20"/>
          <w:szCs w:val="20"/>
        </w:rPr>
        <w:t xml:space="preserve">25%, 50%, 75%, </w:t>
      </w:r>
      <w:r w:rsidR="00A9020A">
        <w:rPr>
          <w:rFonts w:ascii="Times New Roman" w:hAnsi="Times New Roman" w:cs="Times New Roman"/>
          <w:sz w:val="20"/>
          <w:szCs w:val="20"/>
        </w:rPr>
        <w:t>followed by two</w:t>
      </w:r>
      <w:r w:rsidRPr="00C777BE">
        <w:rPr>
          <w:rFonts w:ascii="Times New Roman" w:hAnsi="Times New Roman" w:cs="Times New Roman"/>
          <w:sz w:val="20"/>
          <w:szCs w:val="20"/>
        </w:rPr>
        <w:t xml:space="preserve"> </w:t>
      </w:r>
      <w:r w:rsidR="00A9020A">
        <w:rPr>
          <w:rFonts w:ascii="Times New Roman" w:hAnsi="Times New Roman" w:cs="Times New Roman"/>
          <w:sz w:val="20"/>
          <w:szCs w:val="20"/>
        </w:rPr>
        <w:t xml:space="preserve">washes </w:t>
      </w:r>
      <w:r w:rsidRPr="00C777BE">
        <w:rPr>
          <w:rFonts w:ascii="Times New Roman" w:hAnsi="Times New Roman" w:cs="Times New Roman"/>
          <w:sz w:val="20"/>
          <w:szCs w:val="20"/>
        </w:rPr>
        <w:t>in 100% ethanol for 5 min each</w:t>
      </w:r>
      <w:r w:rsidR="00A9020A">
        <w:rPr>
          <w:rFonts w:ascii="Times New Roman" w:hAnsi="Times New Roman" w:cs="Times New Roman"/>
          <w:sz w:val="20"/>
          <w:szCs w:val="20"/>
        </w:rPr>
        <w:t>.</w:t>
      </w:r>
      <w:r w:rsidR="00A9020A" w:rsidRPr="00A9020A">
        <w:t xml:space="preserve"> </w:t>
      </w:r>
      <w:r w:rsidR="00A9020A" w:rsidRPr="00A9020A">
        <w:rPr>
          <w:rFonts w:ascii="Times New Roman" w:hAnsi="Times New Roman" w:cs="Times New Roman"/>
          <w:sz w:val="20"/>
          <w:szCs w:val="20"/>
        </w:rPr>
        <w:t>Dehydrated samples were air-dried overnight at room temperature</w:t>
      </w:r>
      <w:r w:rsidRPr="00C777BE">
        <w:rPr>
          <w:rFonts w:ascii="Times New Roman" w:hAnsi="Times New Roman" w:cs="Times New Roman"/>
          <w:sz w:val="20"/>
          <w:szCs w:val="20"/>
        </w:rPr>
        <w:t xml:space="preserve">. The </w:t>
      </w:r>
      <w:r w:rsidR="00A9020A">
        <w:rPr>
          <w:rFonts w:ascii="Times New Roman" w:hAnsi="Times New Roman" w:cs="Times New Roman"/>
          <w:sz w:val="20"/>
          <w:szCs w:val="20"/>
        </w:rPr>
        <w:t>following</w:t>
      </w:r>
      <w:r w:rsidRPr="00C777BE">
        <w:rPr>
          <w:rFonts w:ascii="Times New Roman" w:hAnsi="Times New Roman" w:cs="Times New Roman"/>
          <w:sz w:val="20"/>
          <w:szCs w:val="20"/>
        </w:rPr>
        <w:t xml:space="preserve"> day, the samples were mounted on </w:t>
      </w:r>
      <w:r w:rsidR="00A9020A">
        <w:rPr>
          <w:rFonts w:ascii="Times New Roman" w:hAnsi="Times New Roman" w:cs="Times New Roman"/>
          <w:sz w:val="20"/>
          <w:szCs w:val="20"/>
        </w:rPr>
        <w:t xml:space="preserve">25 mm </w:t>
      </w:r>
      <w:r w:rsidRPr="00C777BE">
        <w:rPr>
          <w:rFonts w:ascii="Times New Roman" w:hAnsi="Times New Roman" w:cs="Times New Roman"/>
          <w:sz w:val="20"/>
          <w:szCs w:val="20"/>
        </w:rPr>
        <w:t>double sided adhesive conductive carbon discs</w:t>
      </w:r>
      <w:r w:rsidR="00A9020A">
        <w:rPr>
          <w:rFonts w:ascii="Times New Roman" w:hAnsi="Times New Roman" w:cs="Times New Roman"/>
          <w:sz w:val="20"/>
          <w:szCs w:val="20"/>
        </w:rPr>
        <w:t xml:space="preserve"> and </w:t>
      </w:r>
      <w:r w:rsidRPr="00C777BE">
        <w:rPr>
          <w:rFonts w:ascii="Times New Roman" w:hAnsi="Times New Roman" w:cs="Times New Roman"/>
          <w:sz w:val="20"/>
          <w:szCs w:val="20"/>
        </w:rPr>
        <w:t xml:space="preserve">carbon-coated </w:t>
      </w:r>
      <w:r w:rsidR="00A9020A">
        <w:rPr>
          <w:rFonts w:ascii="Times New Roman" w:hAnsi="Times New Roman" w:cs="Times New Roman"/>
          <w:sz w:val="20"/>
          <w:szCs w:val="20"/>
        </w:rPr>
        <w:t xml:space="preserve">in a </w:t>
      </w:r>
      <w:r w:rsidRPr="00C777BE">
        <w:rPr>
          <w:rFonts w:ascii="Times New Roman" w:hAnsi="Times New Roman" w:cs="Times New Roman"/>
          <w:sz w:val="20"/>
          <w:szCs w:val="20"/>
        </w:rPr>
        <w:t xml:space="preserve">Leica EM CED 030. </w:t>
      </w:r>
      <w:r w:rsidR="00A9020A" w:rsidRPr="00A9020A">
        <w:rPr>
          <w:rFonts w:ascii="Times New Roman" w:hAnsi="Times New Roman" w:cs="Times New Roman"/>
          <w:sz w:val="20"/>
          <w:szCs w:val="20"/>
        </w:rPr>
        <w:t>Additional conductivity was ensured by applying</w:t>
      </w:r>
      <w:r w:rsidR="00A9020A" w:rsidRPr="00C777BE">
        <w:rPr>
          <w:rFonts w:ascii="Times New Roman" w:hAnsi="Times New Roman" w:cs="Times New Roman"/>
          <w:sz w:val="20"/>
          <w:szCs w:val="20"/>
        </w:rPr>
        <w:t xml:space="preserve"> s</w:t>
      </w:r>
      <w:r w:rsidR="00A9020A">
        <w:rPr>
          <w:rFonts w:ascii="Times New Roman" w:hAnsi="Times New Roman" w:cs="Times New Roman"/>
          <w:sz w:val="20"/>
          <w:szCs w:val="20"/>
        </w:rPr>
        <w:t>i</w:t>
      </w:r>
      <w:r w:rsidR="00A9020A" w:rsidRPr="00C777BE">
        <w:rPr>
          <w:rFonts w:ascii="Times New Roman" w:hAnsi="Times New Roman" w:cs="Times New Roman"/>
          <w:sz w:val="20"/>
          <w:szCs w:val="20"/>
        </w:rPr>
        <w:t xml:space="preserve">lver conductive glue </w:t>
      </w:r>
      <w:r w:rsidR="00A9020A">
        <w:rPr>
          <w:rFonts w:ascii="Times New Roman" w:hAnsi="Times New Roman" w:cs="Times New Roman"/>
          <w:sz w:val="20"/>
          <w:szCs w:val="20"/>
        </w:rPr>
        <w:t>to</w:t>
      </w:r>
      <w:r w:rsidR="00A9020A" w:rsidRPr="00C777BE">
        <w:rPr>
          <w:rFonts w:ascii="Times New Roman" w:hAnsi="Times New Roman" w:cs="Times New Roman"/>
          <w:sz w:val="20"/>
          <w:szCs w:val="20"/>
        </w:rPr>
        <w:t xml:space="preserve"> the edges of </w:t>
      </w:r>
      <w:r w:rsidR="00A9020A">
        <w:rPr>
          <w:rFonts w:ascii="Times New Roman" w:hAnsi="Times New Roman" w:cs="Times New Roman"/>
          <w:sz w:val="20"/>
          <w:szCs w:val="20"/>
        </w:rPr>
        <w:t xml:space="preserve">the </w:t>
      </w:r>
      <w:r w:rsidR="00A9020A" w:rsidRPr="00C777BE">
        <w:rPr>
          <w:rFonts w:ascii="Times New Roman" w:hAnsi="Times New Roman" w:cs="Times New Roman"/>
          <w:sz w:val="20"/>
          <w:szCs w:val="20"/>
        </w:rPr>
        <w:t xml:space="preserve">samples. </w:t>
      </w:r>
      <w:r w:rsidR="003B7545" w:rsidRPr="003B7545">
        <w:rPr>
          <w:rFonts w:ascii="Times New Roman" w:hAnsi="Times New Roman" w:cs="Times New Roman"/>
          <w:sz w:val="20"/>
          <w:szCs w:val="20"/>
        </w:rPr>
        <w:t xml:space="preserve">SEM imaging was performed using a Phenom XL scanning electron microscope operated at an acceleration voltage of 5 kV. </w:t>
      </w:r>
      <w:r w:rsidR="003C5DEC" w:rsidRPr="003C5DEC">
        <w:rPr>
          <w:rFonts w:ascii="Times New Roman" w:hAnsi="Times New Roman" w:cs="Times New Roman"/>
          <w:sz w:val="20"/>
          <w:szCs w:val="20"/>
        </w:rPr>
        <w:t>For each sample, one image was captured at 1000× magnification to define the general area of interest. Within this area, five additional images were acquired at 4000× magnification from randomly selected locations.</w:t>
      </w:r>
    </w:p>
    <w:p w14:paraId="23BCAA68"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p>
    <w:p w14:paraId="17E22EC7" w14:textId="77777777" w:rsidR="007525E1" w:rsidRPr="00C777BE" w:rsidRDefault="007525E1" w:rsidP="00123974">
      <w:pPr>
        <w:pStyle w:val="Sansinterligne"/>
        <w:spacing w:after="80" w:line="360" w:lineRule="auto"/>
        <w:jc w:val="both"/>
        <w:rPr>
          <w:rFonts w:ascii="Times New Roman" w:hAnsi="Times New Roman" w:cs="Times New Roman"/>
          <w:b/>
          <w:bCs/>
          <w:szCs w:val="20"/>
          <w:lang w:val="en-US"/>
        </w:rPr>
      </w:pPr>
      <w:r w:rsidRPr="00C777BE">
        <w:rPr>
          <w:rFonts w:ascii="Times New Roman" w:hAnsi="Times New Roman" w:cs="Times New Roman"/>
          <w:b/>
          <w:bCs/>
          <w:szCs w:val="20"/>
          <w:lang w:val="en-US"/>
        </w:rPr>
        <w:t>Biofilm extraction from hoses</w:t>
      </w:r>
    </w:p>
    <w:p w14:paraId="5B293759"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t xml:space="preserve">The overall length of hoses of 180 cm long and of a diameter of 9 mm was used for biofilm removal via repeated sonication as previously described (Parmar et al., 2023). Briefly, the method consisted in plug an adapted stopper at one end of each hose section, fill the hose section with sterile glass beads (3 mm diameter) and 0.2 </w:t>
      </w:r>
      <w:r w:rsidRPr="00C777BE">
        <w:rPr>
          <w:rFonts w:ascii="Times New Roman" w:hAnsi="Times New Roman" w:cs="Times New Roman"/>
          <w:szCs w:val="20"/>
        </w:rPr>
        <w:t>μ</w:t>
      </w:r>
      <w:r w:rsidRPr="00C777BE">
        <w:rPr>
          <w:rFonts w:ascii="Times New Roman" w:hAnsi="Times New Roman" w:cs="Times New Roman"/>
          <w:szCs w:val="20"/>
          <w:lang w:val="en-US"/>
        </w:rPr>
        <w:t xml:space="preserve">m filtered mineral water (Evian, France), seal the other extremity of the hose section with a sterile stopper, and invert ten times. Then, to detach the biofilm, the hose sections were sonicated by submersion in a sonication bath (Branson 5210, Branson, USA) for 5 min. The biofilm suspension was collected in 50 mL tubes (VWR International, USA) by removing the stopper from one end gently inverting the hose section, taking care not to lose glass beads during the process. and the hose sections refilled with freshly filtered mineral water. Subsequently, the hose sections were refilled with freshly filtered mineral water to repeat the steps of sonication. The sonication and collection steps were performed a total of five times. Finally, the total biofilm suspension (overall volume ranging between 80 and 100 mL) was sonicated for 1 minute before further analyses. </w:t>
      </w:r>
    </w:p>
    <w:p w14:paraId="124F780B"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p>
    <w:p w14:paraId="573D2DDE" w14:textId="4300D746" w:rsidR="007525E1" w:rsidRPr="00C777BE" w:rsidRDefault="007525E1" w:rsidP="00123974">
      <w:pPr>
        <w:pStyle w:val="Sansinterligne"/>
        <w:spacing w:after="80" w:line="360" w:lineRule="auto"/>
        <w:jc w:val="both"/>
        <w:rPr>
          <w:rFonts w:ascii="Times New Roman" w:hAnsi="Times New Roman" w:cs="Times New Roman"/>
          <w:b/>
          <w:bCs/>
          <w:szCs w:val="20"/>
          <w:lang w:val="en-US"/>
        </w:rPr>
      </w:pPr>
      <w:r w:rsidRPr="00C777BE">
        <w:rPr>
          <w:rFonts w:ascii="Times New Roman" w:hAnsi="Times New Roman" w:cs="Times New Roman"/>
          <w:b/>
          <w:bCs/>
          <w:szCs w:val="20"/>
          <w:lang w:val="en-US"/>
        </w:rPr>
        <w:t>Flow cytometry assay</w:t>
      </w:r>
    </w:p>
    <w:p w14:paraId="61158400" w14:textId="72013ADA" w:rsidR="007525E1" w:rsidRPr="00C777BE" w:rsidRDefault="00CB0AEE" w:rsidP="00123974">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t xml:space="preserve">The flow cytometry assay </w:t>
      </w:r>
      <w:r>
        <w:rPr>
          <w:rFonts w:ascii="Times New Roman" w:hAnsi="Times New Roman" w:cs="Times New Roman"/>
          <w:szCs w:val="20"/>
          <w:lang w:val="en-US"/>
        </w:rPr>
        <w:t>(</w:t>
      </w:r>
      <w:r w:rsidRPr="00C777BE">
        <w:rPr>
          <w:rFonts w:ascii="Times New Roman" w:hAnsi="Times New Roman" w:cs="Times New Roman"/>
          <w:szCs w:val="20"/>
          <w:lang w:val="en-US"/>
        </w:rPr>
        <w:t>FCA</w:t>
      </w:r>
      <w:r>
        <w:rPr>
          <w:rFonts w:ascii="Times New Roman" w:hAnsi="Times New Roman" w:cs="Times New Roman"/>
          <w:szCs w:val="20"/>
          <w:lang w:val="en-US"/>
        </w:rPr>
        <w:t>)</w:t>
      </w:r>
      <w:r w:rsidRPr="00C777BE">
        <w:rPr>
          <w:rFonts w:ascii="Times New Roman" w:hAnsi="Times New Roman" w:cs="Times New Roman"/>
          <w:szCs w:val="20"/>
          <w:lang w:val="en-US"/>
        </w:rPr>
        <w:t xml:space="preserve"> profiles of the samples were obtained by using a combination of SYBR fluorescence for all cells (with damaged and non-damaged membranes) and PI red fluorescence for cells with damaged membranes</w:t>
      </w:r>
      <w:r w:rsidRPr="00CB0AEE">
        <w:rPr>
          <w:rFonts w:ascii="Times New Roman" w:hAnsi="Times New Roman" w:cs="Times New Roman"/>
          <w:szCs w:val="20"/>
          <w:lang w:val="en-US"/>
        </w:rPr>
        <w:t xml:space="preserve"> </w:t>
      </w:r>
      <w:r w:rsidRPr="00C777BE">
        <w:rPr>
          <w:rFonts w:ascii="Times New Roman" w:hAnsi="Times New Roman" w:cs="Times New Roman"/>
          <w:szCs w:val="20"/>
          <w:lang w:val="en-US"/>
        </w:rPr>
        <w:t xml:space="preserve">using a CYTOFLEX S2 (Beckman Coulter, US). </w:t>
      </w:r>
      <w:r w:rsidR="007525E1" w:rsidRPr="00C777BE">
        <w:rPr>
          <w:rFonts w:ascii="Times New Roman" w:hAnsi="Times New Roman" w:cs="Times New Roman"/>
          <w:szCs w:val="20"/>
          <w:lang w:val="en-US"/>
        </w:rPr>
        <w:t xml:space="preserve">Two hundred microliters of </w:t>
      </w:r>
      <w:r>
        <w:rPr>
          <w:rFonts w:ascii="Times New Roman" w:hAnsi="Times New Roman" w:cs="Times New Roman"/>
          <w:szCs w:val="20"/>
          <w:lang w:val="en-US"/>
        </w:rPr>
        <w:t>biofilm</w:t>
      </w:r>
      <w:r w:rsidR="007525E1" w:rsidRPr="00C777BE">
        <w:rPr>
          <w:rFonts w:ascii="Times New Roman" w:hAnsi="Times New Roman" w:cs="Times New Roman"/>
          <w:szCs w:val="20"/>
          <w:lang w:val="en-US"/>
        </w:rPr>
        <w:t xml:space="preserve"> were labeled with 1 </w:t>
      </w:r>
      <w:r w:rsidR="007525E1" w:rsidRPr="00067592">
        <w:rPr>
          <w:rFonts w:ascii="Symbol" w:hAnsi="Symbol" w:cs="Times New Roman"/>
          <w:szCs w:val="20"/>
        </w:rPr>
        <w:t></w:t>
      </w:r>
      <w:r w:rsidR="007525E1" w:rsidRPr="00C777BE">
        <w:rPr>
          <w:rFonts w:ascii="Times New Roman" w:hAnsi="Times New Roman" w:cs="Times New Roman"/>
          <w:szCs w:val="20"/>
          <w:lang w:val="en-US"/>
        </w:rPr>
        <w:t>l of propidium iodide (PI) at 1 mg·mL</w:t>
      </w:r>
      <w:r w:rsidR="007525E1" w:rsidRPr="00E11D72">
        <w:rPr>
          <w:rFonts w:ascii="Times New Roman" w:hAnsi="Times New Roman" w:cs="Times New Roman"/>
          <w:szCs w:val="20"/>
          <w:vertAlign w:val="superscript"/>
          <w:lang w:val="en-US"/>
        </w:rPr>
        <w:t>-1</w:t>
      </w:r>
      <w:r w:rsidR="007525E1" w:rsidRPr="00C777BE">
        <w:rPr>
          <w:rFonts w:ascii="Times New Roman" w:hAnsi="Times New Roman" w:cs="Times New Roman"/>
          <w:szCs w:val="20"/>
          <w:lang w:val="en-US"/>
        </w:rPr>
        <w:t xml:space="preserve"> (Invitrogen P3566, Life Technologies Europe BV, Zug, Switzerland) and with 2 </w:t>
      </w:r>
      <w:r w:rsidR="007525E1" w:rsidRPr="00C777BE">
        <w:rPr>
          <w:rFonts w:ascii="Times New Roman" w:hAnsi="Times New Roman" w:cs="Times New Roman"/>
          <w:szCs w:val="20"/>
        </w:rPr>
        <w:t>μ</w:t>
      </w:r>
      <w:r w:rsidR="007525E1" w:rsidRPr="00C777BE">
        <w:rPr>
          <w:rFonts w:ascii="Times New Roman" w:hAnsi="Times New Roman" w:cs="Times New Roman"/>
          <w:szCs w:val="20"/>
          <w:lang w:val="en-US"/>
        </w:rPr>
        <w:t>l of SYBR</w:t>
      </w:r>
      <w:r w:rsidR="007525E1" w:rsidRPr="00E11D72">
        <w:rPr>
          <w:rFonts w:ascii="Times New Roman" w:hAnsi="Times New Roman" w:cs="Times New Roman"/>
          <w:szCs w:val="20"/>
          <w:vertAlign w:val="superscript"/>
          <w:lang w:val="en-US"/>
        </w:rPr>
        <w:t>TM</w:t>
      </w:r>
      <w:r w:rsidR="007525E1" w:rsidRPr="00C777BE">
        <w:rPr>
          <w:rFonts w:ascii="Times New Roman" w:hAnsi="Times New Roman" w:cs="Times New Roman"/>
          <w:szCs w:val="20"/>
          <w:lang w:val="en-US"/>
        </w:rPr>
        <w:t xml:space="preserve"> Green I nucleic acid gel stain (SYBR) diluted 100x (Invitrogen S7563, Life Technologies Europe BV, Zug, Switzerland A volume of 40 µl was measure at a medium sheath flow velocity of 30 µL·min</w:t>
      </w:r>
      <w:r w:rsidR="007525E1" w:rsidRPr="00CB0AEE">
        <w:rPr>
          <w:rFonts w:ascii="Times New Roman" w:hAnsi="Times New Roman" w:cs="Times New Roman"/>
          <w:szCs w:val="20"/>
          <w:vertAlign w:val="superscript"/>
          <w:lang w:val="en-US"/>
        </w:rPr>
        <w:t>-1</w:t>
      </w:r>
      <w:r w:rsidR="007525E1" w:rsidRPr="00C777BE">
        <w:rPr>
          <w:rFonts w:ascii="Times New Roman" w:hAnsi="Times New Roman" w:cs="Times New Roman"/>
          <w:szCs w:val="20"/>
          <w:lang w:val="en-US"/>
        </w:rPr>
        <w:t>. When needed, biofilms suspensions were diluted with filtered PBS (VWR Chemicals, USA) to do not exceed 10</w:t>
      </w:r>
      <w:r w:rsidR="007525E1" w:rsidRPr="00CB0AEE">
        <w:rPr>
          <w:rFonts w:ascii="Times New Roman" w:hAnsi="Times New Roman" w:cs="Times New Roman"/>
          <w:szCs w:val="20"/>
          <w:vertAlign w:val="superscript"/>
          <w:lang w:val="en-US"/>
        </w:rPr>
        <w:t>5</w:t>
      </w:r>
      <w:r w:rsidR="007525E1" w:rsidRPr="00C777BE">
        <w:rPr>
          <w:rFonts w:ascii="Times New Roman" w:hAnsi="Times New Roman" w:cs="Times New Roman"/>
          <w:szCs w:val="20"/>
          <w:lang w:val="en-US"/>
        </w:rPr>
        <w:t xml:space="preserve"> cells·ml</w:t>
      </w:r>
      <w:r w:rsidR="007525E1" w:rsidRPr="00CB0AEE">
        <w:rPr>
          <w:rFonts w:ascii="Times New Roman" w:hAnsi="Times New Roman" w:cs="Times New Roman"/>
          <w:szCs w:val="20"/>
          <w:vertAlign w:val="superscript"/>
          <w:lang w:val="en-US"/>
        </w:rPr>
        <w:t>-1</w:t>
      </w:r>
      <w:r w:rsidRPr="00C777BE">
        <w:rPr>
          <w:rFonts w:ascii="Times New Roman" w:hAnsi="Times New Roman" w:cs="Times New Roman"/>
          <w:szCs w:val="20"/>
          <w:lang w:val="en-US"/>
        </w:rPr>
        <w:t>). The SYBR signal was detected in the FITC-H channel (488 nm excitation and 525 nm acquisition), and the PI signal was detected in the APC channel (640 nm excitation and 660 nm acquisition).</w:t>
      </w:r>
      <w:r>
        <w:rPr>
          <w:rFonts w:ascii="Times New Roman" w:hAnsi="Times New Roman" w:cs="Times New Roman"/>
          <w:szCs w:val="20"/>
          <w:lang w:val="en-US"/>
        </w:rPr>
        <w:t xml:space="preserve"> </w:t>
      </w:r>
      <w:r w:rsidR="007525E1" w:rsidRPr="00C777BE">
        <w:rPr>
          <w:rFonts w:ascii="Times New Roman" w:hAnsi="Times New Roman" w:cs="Times New Roman"/>
          <w:szCs w:val="20"/>
          <w:lang w:val="en-US"/>
        </w:rPr>
        <w:t>Data analysis was performed using the FlowJoTM software (version 10.</w:t>
      </w:r>
      <w:r>
        <w:rPr>
          <w:rFonts w:ascii="Times New Roman" w:hAnsi="Times New Roman" w:cs="Times New Roman"/>
          <w:szCs w:val="20"/>
          <w:lang w:val="en-US"/>
        </w:rPr>
        <w:t>9.0</w:t>
      </w:r>
      <w:r w:rsidR="007525E1" w:rsidRPr="00C777BE">
        <w:rPr>
          <w:rFonts w:ascii="Times New Roman" w:hAnsi="Times New Roman" w:cs="Times New Roman"/>
          <w:szCs w:val="20"/>
          <w:lang w:val="en-US"/>
        </w:rPr>
        <w:t>, Ashland, USA). Manually set gates for intact and damaged cells were applied for each sample based on SYBR and PI fluorescence alone, as well as on the intrinsic fluorescence of unstained sampled. Intact cells were considered viable, and damaged cells were considered dead.</w:t>
      </w:r>
    </w:p>
    <w:p w14:paraId="518248DA" w14:textId="77777777" w:rsidR="00664266" w:rsidRPr="00C777BE" w:rsidRDefault="00664266" w:rsidP="00123974">
      <w:pPr>
        <w:pStyle w:val="Sansinterligne"/>
        <w:spacing w:after="80" w:line="360" w:lineRule="auto"/>
        <w:jc w:val="both"/>
        <w:rPr>
          <w:rFonts w:ascii="Times New Roman" w:hAnsi="Times New Roman" w:cs="Times New Roman"/>
          <w:szCs w:val="20"/>
          <w:lang w:val="en-US"/>
        </w:rPr>
      </w:pPr>
    </w:p>
    <w:p w14:paraId="1F7B8AAF" w14:textId="77777777" w:rsidR="007525E1" w:rsidRPr="00C777BE" w:rsidRDefault="007525E1" w:rsidP="00123974">
      <w:pPr>
        <w:pStyle w:val="Sansinterligne"/>
        <w:spacing w:after="80" w:line="360" w:lineRule="auto"/>
        <w:rPr>
          <w:rFonts w:ascii="Times New Roman" w:hAnsi="Times New Roman" w:cs="Times New Roman"/>
          <w:b/>
          <w:bCs/>
          <w:szCs w:val="20"/>
          <w:lang w:val="en-US"/>
        </w:rPr>
      </w:pPr>
      <w:r w:rsidRPr="00C777BE">
        <w:rPr>
          <w:rFonts w:ascii="Times New Roman" w:hAnsi="Times New Roman" w:cs="Times New Roman"/>
          <w:b/>
          <w:bCs/>
          <w:szCs w:val="20"/>
          <w:lang w:val="en-US"/>
        </w:rPr>
        <w:t>Elementary Analysis of Biofilms Suspensions</w:t>
      </w:r>
    </w:p>
    <w:p w14:paraId="61840CF3" w14:textId="23BCCA1F" w:rsidR="007525E1" w:rsidRDefault="007525E1" w:rsidP="00CB0AEE">
      <w:pPr>
        <w:pStyle w:val="Sansinterligne"/>
        <w:spacing w:after="80" w:line="360" w:lineRule="auto"/>
        <w:jc w:val="both"/>
        <w:rPr>
          <w:rFonts w:ascii="Times New Roman" w:hAnsi="Times New Roman" w:cs="Times New Roman"/>
          <w:szCs w:val="20"/>
          <w:lang w:val="en-US"/>
        </w:rPr>
      </w:pPr>
      <w:r w:rsidRPr="00C777BE">
        <w:rPr>
          <w:rFonts w:ascii="Times New Roman" w:hAnsi="Times New Roman" w:cs="Times New Roman"/>
          <w:szCs w:val="20"/>
          <w:lang w:val="en-US"/>
        </w:rPr>
        <w:t>The samples were screened for the presence of metals, and those with significant concentration (</w:t>
      </w:r>
      <w:r w:rsidRPr="00C777BE">
        <w:rPr>
          <w:rFonts w:ascii="Times New Roman" w:hAnsi="Times New Roman" w:cs="Times New Roman"/>
          <w:szCs w:val="20"/>
          <w:vertAlign w:val="superscript"/>
          <w:lang w:val="en-US"/>
        </w:rPr>
        <w:t>44</w:t>
      </w:r>
      <w:r w:rsidRPr="00C777BE">
        <w:rPr>
          <w:rFonts w:ascii="Times New Roman" w:hAnsi="Times New Roman" w:cs="Times New Roman"/>
          <w:szCs w:val="20"/>
          <w:lang w:val="en-US"/>
        </w:rPr>
        <w:t>Ca, </w:t>
      </w:r>
      <w:r w:rsidRPr="00C777BE">
        <w:rPr>
          <w:rFonts w:ascii="Times New Roman" w:hAnsi="Times New Roman" w:cs="Times New Roman"/>
          <w:szCs w:val="20"/>
          <w:vertAlign w:val="superscript"/>
          <w:lang w:val="en-US"/>
        </w:rPr>
        <w:t>107</w:t>
      </w:r>
      <w:r w:rsidRPr="00C777BE">
        <w:rPr>
          <w:rFonts w:ascii="Times New Roman" w:hAnsi="Times New Roman" w:cs="Times New Roman"/>
          <w:szCs w:val="20"/>
          <w:lang w:val="en-US"/>
        </w:rPr>
        <w:t>Ag, </w:t>
      </w:r>
      <w:r w:rsidRPr="00C777BE">
        <w:rPr>
          <w:rFonts w:ascii="Times New Roman" w:hAnsi="Times New Roman" w:cs="Times New Roman"/>
          <w:szCs w:val="20"/>
          <w:vertAlign w:val="superscript"/>
          <w:lang w:val="en-US"/>
        </w:rPr>
        <w:t>57</w:t>
      </w:r>
      <w:r w:rsidRPr="00C777BE">
        <w:rPr>
          <w:rFonts w:ascii="Times New Roman" w:hAnsi="Times New Roman" w:cs="Times New Roman"/>
          <w:szCs w:val="20"/>
          <w:lang w:val="en-US"/>
        </w:rPr>
        <w:t>Fe, </w:t>
      </w:r>
      <w:r w:rsidRPr="00C777BE">
        <w:rPr>
          <w:rFonts w:ascii="Times New Roman" w:hAnsi="Times New Roman" w:cs="Times New Roman"/>
          <w:szCs w:val="20"/>
          <w:vertAlign w:val="superscript"/>
          <w:lang w:val="en-US"/>
        </w:rPr>
        <w:t>63</w:t>
      </w:r>
      <w:r w:rsidRPr="00C777BE">
        <w:rPr>
          <w:rFonts w:ascii="Times New Roman" w:hAnsi="Times New Roman" w:cs="Times New Roman"/>
          <w:szCs w:val="20"/>
          <w:lang w:val="en-US"/>
        </w:rPr>
        <w:t>Cu, </w:t>
      </w:r>
      <w:r w:rsidRPr="00C777BE">
        <w:rPr>
          <w:rFonts w:ascii="Times New Roman" w:hAnsi="Times New Roman" w:cs="Times New Roman"/>
          <w:szCs w:val="20"/>
          <w:vertAlign w:val="superscript"/>
          <w:lang w:val="en-US"/>
        </w:rPr>
        <w:t>66</w:t>
      </w:r>
      <w:r w:rsidRPr="00C777BE">
        <w:rPr>
          <w:rFonts w:ascii="Times New Roman" w:hAnsi="Times New Roman" w:cs="Times New Roman"/>
          <w:szCs w:val="20"/>
          <w:lang w:val="en-US"/>
        </w:rPr>
        <w:t>Zn, and </w:t>
      </w:r>
      <w:r w:rsidRPr="00C777BE">
        <w:rPr>
          <w:rFonts w:ascii="Times New Roman" w:hAnsi="Times New Roman" w:cs="Times New Roman"/>
          <w:szCs w:val="20"/>
          <w:vertAlign w:val="superscript"/>
          <w:lang w:val="en-US"/>
        </w:rPr>
        <w:t>208</w:t>
      </w:r>
      <w:r w:rsidRPr="00C777BE">
        <w:rPr>
          <w:rFonts w:ascii="Times New Roman" w:hAnsi="Times New Roman" w:cs="Times New Roman"/>
          <w:szCs w:val="20"/>
          <w:lang w:val="en-US"/>
        </w:rPr>
        <w:t xml:space="preserve">Pb) were quantified using ICP-MS as </w:t>
      </w:r>
      <w:r w:rsidR="00CB0AEE" w:rsidRPr="00C777BE">
        <w:rPr>
          <w:rFonts w:ascii="Times New Roman" w:hAnsi="Times New Roman" w:cs="Times New Roman"/>
          <w:szCs w:val="20"/>
          <w:lang w:val="en-US"/>
        </w:rPr>
        <w:t>previously</w:t>
      </w:r>
      <w:r w:rsidRPr="00C777BE">
        <w:rPr>
          <w:rFonts w:ascii="Times New Roman" w:hAnsi="Times New Roman" w:cs="Times New Roman"/>
          <w:szCs w:val="20"/>
          <w:lang w:val="en-US"/>
        </w:rPr>
        <w:t xml:space="preserve"> described. Briefly, 2.5 mL aliquots of each sample</w:t>
      </w:r>
      <w:r w:rsidR="00CB0AEE">
        <w:rPr>
          <w:rFonts w:ascii="Times New Roman" w:hAnsi="Times New Roman" w:cs="Times New Roman"/>
          <w:szCs w:val="20"/>
          <w:lang w:val="en-US"/>
        </w:rPr>
        <w:t xml:space="preserve"> </w:t>
      </w:r>
      <w:r w:rsidRPr="00C777BE">
        <w:rPr>
          <w:rFonts w:ascii="Times New Roman" w:hAnsi="Times New Roman" w:cs="Times New Roman"/>
          <w:szCs w:val="20"/>
          <w:lang w:val="en-US"/>
        </w:rPr>
        <w:t>were subjected to acid digestion in 65% HNO</w:t>
      </w:r>
      <w:r w:rsidRPr="00C777BE">
        <w:rPr>
          <w:rFonts w:ascii="Times New Roman" w:hAnsi="Times New Roman" w:cs="Times New Roman"/>
          <w:szCs w:val="20"/>
          <w:vertAlign w:val="subscript"/>
          <w:lang w:val="en-US"/>
        </w:rPr>
        <w:t>3</w:t>
      </w:r>
      <w:r w:rsidRPr="00C777BE">
        <w:rPr>
          <w:rFonts w:ascii="Times New Roman" w:hAnsi="Times New Roman" w:cs="Times New Roman"/>
          <w:szCs w:val="20"/>
          <w:lang w:val="en-US"/>
        </w:rPr>
        <w:t xml:space="preserve"> at a temperature of 95 °C for 25 min. After the digestion process, 25 mL of high-purity water </w:t>
      </w:r>
      <w:proofErr w:type="spellStart"/>
      <w:r w:rsidRPr="00C777BE">
        <w:rPr>
          <w:rFonts w:ascii="Times New Roman" w:hAnsi="Times New Roman" w:cs="Times New Roman"/>
          <w:szCs w:val="20"/>
          <w:lang w:val="en-US"/>
        </w:rPr>
        <w:t>MilliQ</w:t>
      </w:r>
      <w:proofErr w:type="spellEnd"/>
      <w:r w:rsidRPr="00C777BE">
        <w:rPr>
          <w:rFonts w:ascii="Times New Roman" w:hAnsi="Times New Roman" w:cs="Times New Roman"/>
          <w:szCs w:val="20"/>
          <w:lang w:val="en-US"/>
        </w:rPr>
        <w:t xml:space="preserve"> was added to each sample. The elemental concentrations were quantified using an ICP-MS Thermo </w:t>
      </w:r>
      <w:proofErr w:type="spellStart"/>
      <w:r w:rsidRPr="00C777BE">
        <w:rPr>
          <w:rFonts w:ascii="Times New Roman" w:hAnsi="Times New Roman" w:cs="Times New Roman"/>
          <w:szCs w:val="20"/>
          <w:lang w:val="en-US"/>
        </w:rPr>
        <w:t>iCAP</w:t>
      </w:r>
      <w:proofErr w:type="spellEnd"/>
      <w:r w:rsidRPr="00C777BE">
        <w:rPr>
          <w:rFonts w:ascii="Times New Roman" w:hAnsi="Times New Roman" w:cs="Times New Roman"/>
          <w:szCs w:val="20"/>
          <w:lang w:val="en-US"/>
        </w:rPr>
        <w:t xml:space="preserve"> TQ. Standards were provided by SCP Science (</w:t>
      </w:r>
      <w:proofErr w:type="spellStart"/>
      <w:r w:rsidRPr="00C777BE">
        <w:rPr>
          <w:rFonts w:ascii="Times New Roman" w:hAnsi="Times New Roman" w:cs="Times New Roman"/>
          <w:szCs w:val="20"/>
          <w:lang w:val="en-US"/>
        </w:rPr>
        <w:t>Courtaboeuf</w:t>
      </w:r>
      <w:proofErr w:type="spellEnd"/>
      <w:r w:rsidRPr="00C777BE">
        <w:rPr>
          <w:rFonts w:ascii="Times New Roman" w:hAnsi="Times New Roman" w:cs="Times New Roman"/>
          <w:szCs w:val="20"/>
          <w:lang w:val="en-US"/>
        </w:rPr>
        <w:t xml:space="preserve">, France) and </w:t>
      </w:r>
      <w:proofErr w:type="spellStart"/>
      <w:r w:rsidRPr="00C777BE">
        <w:rPr>
          <w:rFonts w:ascii="Times New Roman" w:hAnsi="Times New Roman" w:cs="Times New Roman"/>
          <w:szCs w:val="20"/>
          <w:lang w:val="en-US"/>
        </w:rPr>
        <w:t>Fluka</w:t>
      </w:r>
      <w:proofErr w:type="spellEnd"/>
      <w:r w:rsidRPr="00C777BE">
        <w:rPr>
          <w:rFonts w:ascii="Times New Roman" w:hAnsi="Times New Roman" w:cs="Times New Roman"/>
          <w:szCs w:val="20"/>
          <w:lang w:val="en-US"/>
        </w:rPr>
        <w:t xml:space="preserve"> (Merck KGaA, Darmstadt, </w:t>
      </w:r>
      <w:r w:rsidRPr="00C777BE">
        <w:rPr>
          <w:rFonts w:ascii="Times New Roman" w:hAnsi="Times New Roman" w:cs="Times New Roman"/>
          <w:szCs w:val="20"/>
          <w:lang w:val="en-US"/>
        </w:rPr>
        <w:t>Germany</w:t>
      </w:r>
      <w:r w:rsidRPr="00C777BE">
        <w:rPr>
          <w:rFonts w:ascii="Times New Roman" w:hAnsi="Times New Roman" w:cs="Times New Roman"/>
          <w:szCs w:val="20"/>
          <w:lang w:val="en-US"/>
        </w:rPr>
        <w:t>). The limits of detection and limits of quantification are indicated in </w:t>
      </w:r>
      <w:hyperlink r:id="rId6" w:anchor="table_body_display_pollutants-03-00027-t001" w:history="1">
        <w:r w:rsidRPr="00CB0AEE">
          <w:rPr>
            <w:rStyle w:val="Lienhypertexte"/>
            <w:rFonts w:ascii="Times New Roman" w:hAnsi="Times New Roman" w:cs="Times New Roman"/>
            <w:color w:val="auto"/>
            <w:szCs w:val="20"/>
            <w:u w:val="none"/>
            <w:lang w:val="en-US"/>
          </w:rPr>
          <w:t>Table 1</w:t>
        </w:r>
      </w:hyperlink>
      <w:r w:rsidRPr="00C777BE">
        <w:rPr>
          <w:rFonts w:ascii="Times New Roman" w:hAnsi="Times New Roman" w:cs="Times New Roman"/>
          <w:szCs w:val="20"/>
          <w:lang w:val="en-US"/>
        </w:rPr>
        <w:t>. The ICP-MS analysis was conducted by the Forensic Toxicology and Chemistry Unit at Vaud University Hospital (CHUV).</w:t>
      </w:r>
    </w:p>
    <w:p w14:paraId="59622EB9" w14:textId="77777777" w:rsidR="00A554B8" w:rsidRPr="00A554B8" w:rsidRDefault="00A554B8" w:rsidP="00A554B8">
      <w:pPr>
        <w:pStyle w:val="Sansinterligne"/>
        <w:spacing w:after="80" w:line="360" w:lineRule="auto"/>
        <w:rPr>
          <w:rFonts w:ascii="Times New Roman" w:hAnsi="Times New Roman" w:cs="Times New Roman"/>
          <w:szCs w:val="20"/>
          <w:lang w:val="en-US"/>
        </w:rPr>
      </w:pPr>
      <w:r w:rsidRPr="00A554B8">
        <w:rPr>
          <w:rFonts w:ascii="Times New Roman" w:hAnsi="Times New Roman" w:cs="Times New Roman"/>
          <w:b/>
          <w:bCs/>
          <w:szCs w:val="20"/>
          <w:lang w:val="en-US"/>
        </w:rPr>
        <w:t>Table 1.</w:t>
      </w:r>
      <w:r w:rsidRPr="00A554B8">
        <w:rPr>
          <w:rFonts w:ascii="Times New Roman" w:hAnsi="Times New Roman" w:cs="Times New Roman"/>
          <w:szCs w:val="20"/>
          <w:lang w:val="en-US"/>
        </w:rPr>
        <w:t> Limit of detection (LOD) and limit of quantification (LOQ) of metals detected in samples.</w:t>
      </w:r>
    </w:p>
    <w:tbl>
      <w:tblPr>
        <w:tblW w:w="0" w:type="dxa"/>
        <w:tblCellSpacing w:w="15"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72"/>
        <w:gridCol w:w="730"/>
        <w:gridCol w:w="696"/>
        <w:gridCol w:w="741"/>
        <w:gridCol w:w="730"/>
        <w:gridCol w:w="795"/>
        <w:gridCol w:w="804"/>
      </w:tblGrid>
      <w:tr w:rsidR="00A554B8" w:rsidRPr="00A554B8" w14:paraId="37920629" w14:textId="77777777" w:rsidTr="00A554B8">
        <w:trPr>
          <w:tblHeader/>
          <w:tblCellSpacing w:w="15" w:type="dxa"/>
        </w:trPr>
        <w:tc>
          <w:tcPr>
            <w:tcW w:w="0" w:type="auto"/>
            <w:tcBorders>
              <w:top w:val="single" w:sz="6" w:space="0" w:color="auto"/>
              <w:bottom w:val="single" w:sz="6" w:space="0" w:color="auto"/>
            </w:tcBorders>
            <w:shd w:val="clear" w:color="auto" w:fill="FFFFFF"/>
            <w:tcMar>
              <w:top w:w="150" w:type="dxa"/>
              <w:left w:w="105" w:type="dxa"/>
              <w:bottom w:w="75" w:type="dxa"/>
              <w:right w:w="105" w:type="dxa"/>
            </w:tcMar>
            <w:vAlign w:val="center"/>
            <w:hideMark/>
          </w:tcPr>
          <w:p w14:paraId="26A74D2B" w14:textId="77777777" w:rsidR="00A554B8" w:rsidRPr="00A554B8" w:rsidRDefault="00A554B8" w:rsidP="00A554B8">
            <w:pPr>
              <w:pStyle w:val="Sansinterligne"/>
              <w:spacing w:after="80" w:line="360" w:lineRule="auto"/>
              <w:rPr>
                <w:rFonts w:ascii="Times New Roman" w:hAnsi="Times New Roman" w:cs="Times New Roman"/>
                <w:szCs w:val="20"/>
                <w:lang w:val="en-US"/>
              </w:rPr>
            </w:pPr>
          </w:p>
        </w:tc>
        <w:tc>
          <w:tcPr>
            <w:tcW w:w="0" w:type="auto"/>
            <w:tcBorders>
              <w:top w:val="single" w:sz="6" w:space="0" w:color="auto"/>
              <w:bottom w:val="single" w:sz="6" w:space="0" w:color="auto"/>
            </w:tcBorders>
            <w:shd w:val="clear" w:color="auto" w:fill="FFFFFF"/>
            <w:tcMar>
              <w:top w:w="150" w:type="dxa"/>
              <w:left w:w="105" w:type="dxa"/>
              <w:bottom w:w="75" w:type="dxa"/>
              <w:right w:w="105" w:type="dxa"/>
            </w:tcMar>
            <w:vAlign w:val="center"/>
            <w:hideMark/>
          </w:tcPr>
          <w:p w14:paraId="7B483BEA" w14:textId="77777777" w:rsidR="00A554B8" w:rsidRPr="00A554B8" w:rsidRDefault="00A554B8" w:rsidP="00A554B8">
            <w:pPr>
              <w:pStyle w:val="Sansinterligne"/>
              <w:spacing w:after="80" w:line="360" w:lineRule="auto"/>
              <w:jc w:val="both"/>
              <w:rPr>
                <w:rFonts w:ascii="Times New Roman" w:hAnsi="Times New Roman" w:cs="Times New Roman"/>
                <w:b/>
                <w:bCs/>
                <w:szCs w:val="20"/>
              </w:rPr>
            </w:pPr>
            <w:r w:rsidRPr="00A554B8">
              <w:rPr>
                <w:rFonts w:ascii="Times New Roman" w:hAnsi="Times New Roman" w:cs="Times New Roman"/>
                <w:b/>
                <w:bCs/>
                <w:szCs w:val="20"/>
                <w:vertAlign w:val="superscript"/>
              </w:rPr>
              <w:t>44</w:t>
            </w:r>
            <w:r w:rsidRPr="00A554B8">
              <w:rPr>
                <w:rFonts w:ascii="Times New Roman" w:hAnsi="Times New Roman" w:cs="Times New Roman"/>
                <w:b/>
                <w:bCs/>
                <w:szCs w:val="20"/>
              </w:rPr>
              <w:t>Ca </w:t>
            </w:r>
            <w:r w:rsidRPr="00A554B8">
              <w:rPr>
                <w:rFonts w:ascii="Times New Roman" w:hAnsi="Times New Roman" w:cs="Times New Roman"/>
                <w:b/>
                <w:bCs/>
                <w:szCs w:val="20"/>
                <w:vertAlign w:val="superscript"/>
              </w:rPr>
              <w:t>1</w:t>
            </w:r>
          </w:p>
        </w:tc>
        <w:tc>
          <w:tcPr>
            <w:tcW w:w="0" w:type="auto"/>
            <w:tcBorders>
              <w:top w:val="single" w:sz="6" w:space="0" w:color="auto"/>
              <w:bottom w:val="single" w:sz="6" w:space="0" w:color="auto"/>
            </w:tcBorders>
            <w:shd w:val="clear" w:color="auto" w:fill="FFFFFF"/>
            <w:tcMar>
              <w:top w:w="150" w:type="dxa"/>
              <w:left w:w="105" w:type="dxa"/>
              <w:bottom w:w="75" w:type="dxa"/>
              <w:right w:w="105" w:type="dxa"/>
            </w:tcMar>
            <w:vAlign w:val="center"/>
            <w:hideMark/>
          </w:tcPr>
          <w:p w14:paraId="1D2F8349" w14:textId="77777777" w:rsidR="00A554B8" w:rsidRPr="00A554B8" w:rsidRDefault="00A554B8" w:rsidP="00A554B8">
            <w:pPr>
              <w:pStyle w:val="Sansinterligne"/>
              <w:spacing w:after="80" w:line="360" w:lineRule="auto"/>
              <w:jc w:val="both"/>
              <w:rPr>
                <w:rFonts w:ascii="Times New Roman" w:hAnsi="Times New Roman" w:cs="Times New Roman"/>
                <w:b/>
                <w:bCs/>
                <w:szCs w:val="20"/>
              </w:rPr>
            </w:pPr>
            <w:r w:rsidRPr="00A554B8">
              <w:rPr>
                <w:rFonts w:ascii="Times New Roman" w:hAnsi="Times New Roman" w:cs="Times New Roman"/>
                <w:b/>
                <w:bCs/>
                <w:szCs w:val="20"/>
                <w:vertAlign w:val="superscript"/>
              </w:rPr>
              <w:t>57</w:t>
            </w:r>
            <w:r w:rsidRPr="00A554B8">
              <w:rPr>
                <w:rFonts w:ascii="Times New Roman" w:hAnsi="Times New Roman" w:cs="Times New Roman"/>
                <w:b/>
                <w:bCs/>
                <w:szCs w:val="20"/>
              </w:rPr>
              <w:t>Fe </w:t>
            </w:r>
            <w:r w:rsidRPr="00A554B8">
              <w:rPr>
                <w:rFonts w:ascii="Times New Roman" w:hAnsi="Times New Roman" w:cs="Times New Roman"/>
                <w:b/>
                <w:bCs/>
                <w:szCs w:val="20"/>
                <w:vertAlign w:val="superscript"/>
              </w:rPr>
              <w:t>1</w:t>
            </w:r>
          </w:p>
        </w:tc>
        <w:tc>
          <w:tcPr>
            <w:tcW w:w="0" w:type="auto"/>
            <w:tcBorders>
              <w:top w:val="single" w:sz="6" w:space="0" w:color="auto"/>
              <w:bottom w:val="single" w:sz="6" w:space="0" w:color="auto"/>
            </w:tcBorders>
            <w:shd w:val="clear" w:color="auto" w:fill="FFFFFF"/>
            <w:tcMar>
              <w:top w:w="150" w:type="dxa"/>
              <w:left w:w="105" w:type="dxa"/>
              <w:bottom w:w="75" w:type="dxa"/>
              <w:right w:w="105" w:type="dxa"/>
            </w:tcMar>
            <w:vAlign w:val="center"/>
            <w:hideMark/>
          </w:tcPr>
          <w:p w14:paraId="42CC43FD" w14:textId="77777777" w:rsidR="00A554B8" w:rsidRPr="00A554B8" w:rsidRDefault="00A554B8" w:rsidP="00A554B8">
            <w:pPr>
              <w:pStyle w:val="Sansinterligne"/>
              <w:spacing w:after="80" w:line="360" w:lineRule="auto"/>
              <w:jc w:val="both"/>
              <w:rPr>
                <w:rFonts w:ascii="Times New Roman" w:hAnsi="Times New Roman" w:cs="Times New Roman"/>
                <w:b/>
                <w:bCs/>
                <w:szCs w:val="20"/>
              </w:rPr>
            </w:pPr>
            <w:r w:rsidRPr="00A554B8">
              <w:rPr>
                <w:rFonts w:ascii="Times New Roman" w:hAnsi="Times New Roman" w:cs="Times New Roman"/>
                <w:b/>
                <w:bCs/>
                <w:szCs w:val="20"/>
                <w:vertAlign w:val="superscript"/>
              </w:rPr>
              <w:t>63</w:t>
            </w:r>
            <w:r w:rsidRPr="00A554B8">
              <w:rPr>
                <w:rFonts w:ascii="Times New Roman" w:hAnsi="Times New Roman" w:cs="Times New Roman"/>
                <w:b/>
                <w:bCs/>
                <w:szCs w:val="20"/>
              </w:rPr>
              <w:t>Cu </w:t>
            </w:r>
            <w:r w:rsidRPr="00A554B8">
              <w:rPr>
                <w:rFonts w:ascii="Times New Roman" w:hAnsi="Times New Roman" w:cs="Times New Roman"/>
                <w:b/>
                <w:bCs/>
                <w:szCs w:val="20"/>
                <w:vertAlign w:val="superscript"/>
              </w:rPr>
              <w:t>1</w:t>
            </w:r>
          </w:p>
        </w:tc>
        <w:tc>
          <w:tcPr>
            <w:tcW w:w="0" w:type="auto"/>
            <w:tcBorders>
              <w:top w:val="single" w:sz="6" w:space="0" w:color="auto"/>
              <w:bottom w:val="single" w:sz="6" w:space="0" w:color="auto"/>
            </w:tcBorders>
            <w:shd w:val="clear" w:color="auto" w:fill="FFFFFF"/>
            <w:tcMar>
              <w:top w:w="150" w:type="dxa"/>
              <w:left w:w="105" w:type="dxa"/>
              <w:bottom w:w="75" w:type="dxa"/>
              <w:right w:w="105" w:type="dxa"/>
            </w:tcMar>
            <w:vAlign w:val="center"/>
            <w:hideMark/>
          </w:tcPr>
          <w:p w14:paraId="31590ACA" w14:textId="77777777" w:rsidR="00A554B8" w:rsidRPr="00A554B8" w:rsidRDefault="00A554B8" w:rsidP="00A554B8">
            <w:pPr>
              <w:pStyle w:val="Sansinterligne"/>
              <w:spacing w:after="80" w:line="360" w:lineRule="auto"/>
              <w:jc w:val="both"/>
              <w:rPr>
                <w:rFonts w:ascii="Times New Roman" w:hAnsi="Times New Roman" w:cs="Times New Roman"/>
                <w:b/>
                <w:bCs/>
                <w:szCs w:val="20"/>
              </w:rPr>
            </w:pPr>
            <w:r w:rsidRPr="00A554B8">
              <w:rPr>
                <w:rFonts w:ascii="Times New Roman" w:hAnsi="Times New Roman" w:cs="Times New Roman"/>
                <w:b/>
                <w:bCs/>
                <w:szCs w:val="20"/>
                <w:vertAlign w:val="superscript"/>
              </w:rPr>
              <w:t>66</w:t>
            </w:r>
            <w:r w:rsidRPr="00A554B8">
              <w:rPr>
                <w:rFonts w:ascii="Times New Roman" w:hAnsi="Times New Roman" w:cs="Times New Roman"/>
                <w:b/>
                <w:bCs/>
                <w:szCs w:val="20"/>
              </w:rPr>
              <w:t>Zn </w:t>
            </w:r>
            <w:r w:rsidRPr="00A554B8">
              <w:rPr>
                <w:rFonts w:ascii="Times New Roman" w:hAnsi="Times New Roman" w:cs="Times New Roman"/>
                <w:b/>
                <w:bCs/>
                <w:szCs w:val="20"/>
                <w:vertAlign w:val="superscript"/>
              </w:rPr>
              <w:t>1</w:t>
            </w:r>
          </w:p>
        </w:tc>
        <w:tc>
          <w:tcPr>
            <w:tcW w:w="0" w:type="auto"/>
            <w:tcBorders>
              <w:top w:val="single" w:sz="6" w:space="0" w:color="auto"/>
              <w:bottom w:val="single" w:sz="6" w:space="0" w:color="auto"/>
            </w:tcBorders>
            <w:shd w:val="clear" w:color="auto" w:fill="FFFFFF"/>
            <w:tcMar>
              <w:top w:w="150" w:type="dxa"/>
              <w:left w:w="105" w:type="dxa"/>
              <w:bottom w:w="75" w:type="dxa"/>
              <w:right w:w="105" w:type="dxa"/>
            </w:tcMar>
            <w:vAlign w:val="center"/>
            <w:hideMark/>
          </w:tcPr>
          <w:p w14:paraId="3FFFC4F8" w14:textId="77777777" w:rsidR="00A554B8" w:rsidRPr="00A554B8" w:rsidRDefault="00A554B8" w:rsidP="00A554B8">
            <w:pPr>
              <w:pStyle w:val="Sansinterligne"/>
              <w:spacing w:after="80" w:line="360" w:lineRule="auto"/>
              <w:jc w:val="both"/>
              <w:rPr>
                <w:rFonts w:ascii="Times New Roman" w:hAnsi="Times New Roman" w:cs="Times New Roman"/>
                <w:b/>
                <w:bCs/>
                <w:szCs w:val="20"/>
              </w:rPr>
            </w:pPr>
            <w:r w:rsidRPr="00A554B8">
              <w:rPr>
                <w:rFonts w:ascii="Times New Roman" w:hAnsi="Times New Roman" w:cs="Times New Roman"/>
                <w:b/>
                <w:bCs/>
                <w:szCs w:val="20"/>
                <w:vertAlign w:val="superscript"/>
              </w:rPr>
              <w:t>107</w:t>
            </w:r>
            <w:r w:rsidRPr="00A554B8">
              <w:rPr>
                <w:rFonts w:ascii="Times New Roman" w:hAnsi="Times New Roman" w:cs="Times New Roman"/>
                <w:b/>
                <w:bCs/>
                <w:szCs w:val="20"/>
              </w:rPr>
              <w:t>Ag </w:t>
            </w:r>
            <w:r w:rsidRPr="00A554B8">
              <w:rPr>
                <w:rFonts w:ascii="Times New Roman" w:hAnsi="Times New Roman" w:cs="Times New Roman"/>
                <w:b/>
                <w:bCs/>
                <w:szCs w:val="20"/>
                <w:vertAlign w:val="superscript"/>
              </w:rPr>
              <w:t>1</w:t>
            </w:r>
          </w:p>
        </w:tc>
        <w:tc>
          <w:tcPr>
            <w:tcW w:w="0" w:type="auto"/>
            <w:tcBorders>
              <w:top w:val="single" w:sz="6" w:space="0" w:color="auto"/>
              <w:bottom w:val="single" w:sz="6" w:space="0" w:color="auto"/>
            </w:tcBorders>
            <w:shd w:val="clear" w:color="auto" w:fill="FFFFFF"/>
            <w:tcMar>
              <w:top w:w="150" w:type="dxa"/>
              <w:left w:w="105" w:type="dxa"/>
              <w:bottom w:w="75" w:type="dxa"/>
              <w:right w:w="105" w:type="dxa"/>
            </w:tcMar>
            <w:vAlign w:val="center"/>
            <w:hideMark/>
          </w:tcPr>
          <w:p w14:paraId="523432E9" w14:textId="77777777" w:rsidR="00A554B8" w:rsidRPr="00A554B8" w:rsidRDefault="00A554B8" w:rsidP="00A554B8">
            <w:pPr>
              <w:pStyle w:val="Sansinterligne"/>
              <w:spacing w:after="80" w:line="360" w:lineRule="auto"/>
              <w:jc w:val="both"/>
              <w:rPr>
                <w:rFonts w:ascii="Times New Roman" w:hAnsi="Times New Roman" w:cs="Times New Roman"/>
                <w:b/>
                <w:bCs/>
                <w:szCs w:val="20"/>
              </w:rPr>
            </w:pPr>
            <w:r w:rsidRPr="00A554B8">
              <w:rPr>
                <w:rFonts w:ascii="Times New Roman" w:hAnsi="Times New Roman" w:cs="Times New Roman"/>
                <w:b/>
                <w:bCs/>
                <w:szCs w:val="20"/>
                <w:vertAlign w:val="superscript"/>
              </w:rPr>
              <w:t>208</w:t>
            </w:r>
            <w:r w:rsidRPr="00A554B8">
              <w:rPr>
                <w:rFonts w:ascii="Times New Roman" w:hAnsi="Times New Roman" w:cs="Times New Roman"/>
                <w:b/>
                <w:bCs/>
                <w:szCs w:val="20"/>
              </w:rPr>
              <w:t>Pb </w:t>
            </w:r>
            <w:r w:rsidRPr="00A554B8">
              <w:rPr>
                <w:rFonts w:ascii="Times New Roman" w:hAnsi="Times New Roman" w:cs="Times New Roman"/>
                <w:b/>
                <w:bCs/>
                <w:szCs w:val="20"/>
                <w:vertAlign w:val="superscript"/>
              </w:rPr>
              <w:t>1</w:t>
            </w:r>
          </w:p>
        </w:tc>
      </w:tr>
      <w:tr w:rsidR="00A554B8" w:rsidRPr="00A554B8" w14:paraId="4A384B6E" w14:textId="77777777" w:rsidTr="00A554B8">
        <w:trPr>
          <w:tblCellSpacing w:w="15" w:type="dxa"/>
        </w:trPr>
        <w:tc>
          <w:tcPr>
            <w:tcW w:w="0" w:type="auto"/>
            <w:tcBorders>
              <w:bottom w:val="single" w:sz="2" w:space="0" w:color="auto"/>
            </w:tcBorders>
            <w:shd w:val="clear" w:color="auto" w:fill="FFFFFF"/>
            <w:tcMar>
              <w:top w:w="75" w:type="dxa"/>
              <w:left w:w="105" w:type="dxa"/>
              <w:bottom w:w="75" w:type="dxa"/>
              <w:right w:w="105" w:type="dxa"/>
            </w:tcMar>
            <w:vAlign w:val="center"/>
            <w:hideMark/>
          </w:tcPr>
          <w:p w14:paraId="780333D9"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LOD</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2DE90DAF"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33.3</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60BEC42B"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6.7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11789E69"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6.7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5B61CE20"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6.7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522D935E"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6.7</w:t>
            </w:r>
          </w:p>
        </w:tc>
        <w:tc>
          <w:tcPr>
            <w:tcW w:w="0" w:type="auto"/>
            <w:tcBorders>
              <w:bottom w:val="single" w:sz="2" w:space="0" w:color="auto"/>
            </w:tcBorders>
            <w:shd w:val="clear" w:color="auto" w:fill="FFFFFF"/>
            <w:tcMar>
              <w:top w:w="75" w:type="dxa"/>
              <w:left w:w="105" w:type="dxa"/>
              <w:bottom w:w="75" w:type="dxa"/>
              <w:right w:w="105" w:type="dxa"/>
            </w:tcMar>
            <w:vAlign w:val="center"/>
            <w:hideMark/>
          </w:tcPr>
          <w:p w14:paraId="397B4CA6"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6.7</w:t>
            </w:r>
          </w:p>
        </w:tc>
      </w:tr>
      <w:tr w:rsidR="00A554B8" w:rsidRPr="00A554B8" w14:paraId="7533BC4E" w14:textId="77777777" w:rsidTr="00A554B8">
        <w:trPr>
          <w:tblCellSpacing w:w="15" w:type="dxa"/>
        </w:trPr>
        <w:tc>
          <w:tcPr>
            <w:tcW w:w="0" w:type="auto"/>
            <w:tcBorders>
              <w:bottom w:val="single" w:sz="6" w:space="0" w:color="auto"/>
            </w:tcBorders>
            <w:shd w:val="clear" w:color="auto" w:fill="F9F9F9"/>
            <w:tcMar>
              <w:top w:w="75" w:type="dxa"/>
              <w:left w:w="105" w:type="dxa"/>
              <w:bottom w:w="75" w:type="dxa"/>
              <w:right w:w="105" w:type="dxa"/>
            </w:tcMar>
            <w:vAlign w:val="center"/>
            <w:hideMark/>
          </w:tcPr>
          <w:p w14:paraId="6CB28D9B"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LOQ</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18EF5A90"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100.0</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3172057A"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20.0</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7E48F7E0"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20.0</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505A556B"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20.0</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348BCC41"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20.0</w:t>
            </w:r>
          </w:p>
        </w:tc>
        <w:tc>
          <w:tcPr>
            <w:tcW w:w="0" w:type="auto"/>
            <w:tcBorders>
              <w:bottom w:val="single" w:sz="6" w:space="0" w:color="auto"/>
            </w:tcBorders>
            <w:shd w:val="clear" w:color="auto" w:fill="F9F9F9"/>
            <w:tcMar>
              <w:top w:w="75" w:type="dxa"/>
              <w:left w:w="105" w:type="dxa"/>
              <w:bottom w:w="75" w:type="dxa"/>
              <w:right w:w="105" w:type="dxa"/>
            </w:tcMar>
            <w:vAlign w:val="center"/>
            <w:hideMark/>
          </w:tcPr>
          <w:p w14:paraId="7227A00B" w14:textId="77777777" w:rsidR="00A554B8" w:rsidRPr="00A554B8" w:rsidRDefault="00A554B8" w:rsidP="00A554B8">
            <w:pPr>
              <w:pStyle w:val="Sansinterligne"/>
              <w:spacing w:after="80" w:line="360" w:lineRule="auto"/>
              <w:jc w:val="both"/>
              <w:rPr>
                <w:rFonts w:ascii="Times New Roman" w:hAnsi="Times New Roman" w:cs="Times New Roman"/>
                <w:szCs w:val="20"/>
              </w:rPr>
            </w:pPr>
            <w:r w:rsidRPr="00A554B8">
              <w:rPr>
                <w:rFonts w:ascii="Times New Roman" w:hAnsi="Times New Roman" w:cs="Times New Roman"/>
                <w:szCs w:val="20"/>
              </w:rPr>
              <w:t>20.0</w:t>
            </w:r>
          </w:p>
        </w:tc>
      </w:tr>
    </w:tbl>
    <w:p w14:paraId="114EBEB4" w14:textId="3A4D8554" w:rsidR="00A554B8" w:rsidRPr="00A554B8" w:rsidRDefault="00A554B8" w:rsidP="00A554B8">
      <w:pPr>
        <w:pStyle w:val="Sansinterligne"/>
        <w:spacing w:after="80" w:line="360" w:lineRule="auto"/>
        <w:rPr>
          <w:rFonts w:ascii="Times New Roman" w:hAnsi="Times New Roman" w:cs="Times New Roman"/>
          <w:szCs w:val="20"/>
        </w:rPr>
      </w:pPr>
      <w:r w:rsidRPr="00A554B8">
        <w:rPr>
          <w:rFonts w:ascii="Times New Roman" w:hAnsi="Times New Roman" w:cs="Times New Roman"/>
          <w:szCs w:val="20"/>
          <w:vertAlign w:val="superscript"/>
        </w:rPr>
        <w:t>1 </w:t>
      </w:r>
      <w:proofErr w:type="spellStart"/>
      <w:r w:rsidRPr="00A554B8">
        <w:rPr>
          <w:rFonts w:ascii="Times New Roman" w:hAnsi="Times New Roman" w:cs="Times New Roman"/>
          <w:szCs w:val="20"/>
        </w:rPr>
        <w:t>Expressed</w:t>
      </w:r>
      <w:proofErr w:type="spellEnd"/>
      <w:r w:rsidRPr="00A554B8">
        <w:rPr>
          <w:rFonts w:ascii="Times New Roman" w:hAnsi="Times New Roman" w:cs="Times New Roman"/>
          <w:szCs w:val="20"/>
        </w:rPr>
        <w:t xml:space="preserve"> in μg·L</w:t>
      </w:r>
      <w:r w:rsidRPr="00A554B8">
        <w:rPr>
          <w:rFonts w:ascii="Times New Roman" w:hAnsi="Times New Roman" w:cs="Times New Roman"/>
          <w:szCs w:val="20"/>
          <w:vertAlign w:val="superscript"/>
        </w:rPr>
        <w:t>−1</w:t>
      </w:r>
      <w:r w:rsidRPr="00A554B8">
        <w:rPr>
          <w:rFonts w:ascii="Times New Roman" w:hAnsi="Times New Roman" w:cs="Times New Roman"/>
          <w:szCs w:val="20"/>
        </w:rPr>
        <w:t>.</w:t>
      </w:r>
    </w:p>
    <w:p w14:paraId="6BAB2371"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p>
    <w:p w14:paraId="3B81A329" w14:textId="77777777" w:rsidR="007525E1" w:rsidRPr="00C777BE" w:rsidRDefault="007525E1" w:rsidP="00123974">
      <w:pPr>
        <w:pStyle w:val="Sansinterligne"/>
        <w:spacing w:after="80" w:line="360" w:lineRule="auto"/>
        <w:rPr>
          <w:rFonts w:ascii="Times New Roman" w:hAnsi="Times New Roman" w:cs="Times New Roman"/>
          <w:b/>
          <w:bCs/>
          <w:szCs w:val="20"/>
          <w:lang w:val="en-US"/>
        </w:rPr>
      </w:pPr>
      <w:r w:rsidRPr="00C777BE">
        <w:rPr>
          <w:rFonts w:ascii="Times New Roman" w:hAnsi="Times New Roman" w:cs="Times New Roman"/>
          <w:b/>
          <w:bCs/>
          <w:szCs w:val="20"/>
          <w:lang w:val="en-US"/>
        </w:rPr>
        <w:t>DNA extraction</w:t>
      </w:r>
    </w:p>
    <w:p w14:paraId="56000001" w14:textId="2BD42290" w:rsidR="00CC51E5" w:rsidRDefault="00906E2C" w:rsidP="00CC51E5">
      <w:pPr>
        <w:pStyle w:val="Sansinterligne"/>
        <w:spacing w:after="80" w:line="360" w:lineRule="auto"/>
        <w:rPr>
          <w:rFonts w:ascii="Times New Roman" w:hAnsi="Times New Roman" w:cs="Times New Roman"/>
          <w:szCs w:val="20"/>
          <w:lang w:val="en-GB"/>
        </w:rPr>
      </w:pPr>
      <w:r w:rsidRPr="00906E2C">
        <w:rPr>
          <w:rFonts w:ascii="Times New Roman" w:hAnsi="Times New Roman" w:cs="Times New Roman"/>
          <w:szCs w:val="20"/>
          <w:lang w:val="en-US"/>
        </w:rPr>
        <w:t>Genomic DNA was extracted from 500 µL of biofilm using the</w:t>
      </w:r>
      <w:r>
        <w:rPr>
          <w:rFonts w:ascii="Times New Roman" w:hAnsi="Times New Roman" w:cs="Times New Roman"/>
          <w:szCs w:val="20"/>
          <w:lang w:val="en-US"/>
        </w:rPr>
        <w:t xml:space="preserve"> </w:t>
      </w:r>
      <w:proofErr w:type="spellStart"/>
      <w:r w:rsidR="007525E1" w:rsidRPr="00C777BE">
        <w:rPr>
          <w:rFonts w:ascii="Times New Roman" w:hAnsi="Times New Roman" w:cs="Times New Roman"/>
          <w:szCs w:val="20"/>
          <w:lang w:val="en-GB"/>
        </w:rPr>
        <w:t>FastDNA</w:t>
      </w:r>
      <w:proofErr w:type="spellEnd"/>
      <w:r w:rsidR="007525E1" w:rsidRPr="00C777BE">
        <w:rPr>
          <w:rFonts w:ascii="Times New Roman" w:hAnsi="Times New Roman" w:cs="Times New Roman"/>
          <w:szCs w:val="20"/>
          <w:lang w:val="en-GB"/>
        </w:rPr>
        <w:t xml:space="preserve"> SPIN kit (MP Biomedicals)</w:t>
      </w:r>
      <w:r w:rsidRPr="00906E2C">
        <w:rPr>
          <w:rFonts w:ascii="Times New Roman" w:hAnsi="Times New Roman" w:cs="Times New Roman"/>
          <w:szCs w:val="20"/>
          <w:lang w:val="en-US"/>
        </w:rPr>
        <w:t>, following the manufacturer's protocol</w:t>
      </w:r>
      <w:r>
        <w:rPr>
          <w:rFonts w:ascii="Times New Roman" w:hAnsi="Times New Roman" w:cs="Times New Roman"/>
          <w:szCs w:val="20"/>
          <w:lang w:val="en-US"/>
        </w:rPr>
        <w:t xml:space="preserve"> with slight modifications</w:t>
      </w:r>
      <w:r w:rsidRPr="00906E2C">
        <w:rPr>
          <w:rFonts w:asciiTheme="minorHAnsi" w:eastAsiaTheme="minorEastAsia" w:hAnsiTheme="minorHAnsi"/>
          <w:sz w:val="21"/>
          <w:szCs w:val="24"/>
          <w:lang w:val="en-US" w:eastAsia="zh-CN"/>
          <w14:ligatures w14:val="none"/>
        </w:rPr>
        <w:t xml:space="preserve"> </w:t>
      </w:r>
      <w:r w:rsidRPr="00906E2C">
        <w:rPr>
          <w:rFonts w:ascii="Times New Roman" w:hAnsi="Times New Roman" w:cs="Times New Roman"/>
          <w:szCs w:val="20"/>
          <w:lang w:val="en-US"/>
        </w:rPr>
        <w:t xml:space="preserve">Specifically, mechanical lysis was performed using a </w:t>
      </w:r>
      <w:proofErr w:type="spellStart"/>
      <w:r w:rsidRPr="00906E2C">
        <w:rPr>
          <w:rFonts w:ascii="Times New Roman" w:hAnsi="Times New Roman" w:cs="Times New Roman"/>
          <w:szCs w:val="20"/>
          <w:lang w:val="en-US"/>
        </w:rPr>
        <w:t>TissueLyser</w:t>
      </w:r>
      <w:proofErr w:type="spellEnd"/>
      <w:r w:rsidRPr="00906E2C">
        <w:rPr>
          <w:rFonts w:ascii="Times New Roman" w:hAnsi="Times New Roman" w:cs="Times New Roman"/>
          <w:szCs w:val="20"/>
          <w:lang w:val="en-US"/>
        </w:rPr>
        <w:t xml:space="preserve"> II (Qiagen, Germany) to improve cell disruption efficiency. </w:t>
      </w:r>
      <w:r>
        <w:rPr>
          <w:rFonts w:ascii="Times New Roman" w:hAnsi="Times New Roman" w:cs="Times New Roman"/>
          <w:szCs w:val="20"/>
          <w:lang w:val="en-US"/>
        </w:rPr>
        <w:t xml:space="preserve"> </w:t>
      </w:r>
      <w:r w:rsidR="00CC51E5">
        <w:rPr>
          <w:rFonts w:ascii="Times New Roman" w:hAnsi="Times New Roman" w:cs="Times New Roman"/>
          <w:szCs w:val="20"/>
          <w:lang w:val="en-GB"/>
        </w:rPr>
        <w:t xml:space="preserve">DNA </w:t>
      </w:r>
      <w:r>
        <w:rPr>
          <w:rFonts w:ascii="Times New Roman" w:hAnsi="Times New Roman" w:cs="Times New Roman"/>
          <w:szCs w:val="20"/>
          <w:lang w:val="en-GB"/>
        </w:rPr>
        <w:t xml:space="preserve">concentration was </w:t>
      </w:r>
      <w:r w:rsidR="00CC51E5">
        <w:rPr>
          <w:rFonts w:ascii="Times New Roman" w:hAnsi="Times New Roman" w:cs="Times New Roman"/>
          <w:szCs w:val="20"/>
          <w:lang w:val="en-GB"/>
        </w:rPr>
        <w:t>quantifi</w:t>
      </w:r>
      <w:r>
        <w:rPr>
          <w:rFonts w:ascii="Times New Roman" w:hAnsi="Times New Roman" w:cs="Times New Roman"/>
          <w:szCs w:val="20"/>
          <w:lang w:val="en-GB"/>
        </w:rPr>
        <w:t xml:space="preserve">ed </w:t>
      </w:r>
      <w:r>
        <w:rPr>
          <w:rFonts w:ascii="Times New Roman" w:hAnsi="Times New Roman" w:cs="Times New Roman"/>
          <w:szCs w:val="20"/>
          <w:lang w:val="en-GB"/>
        </w:rPr>
        <w:lastRenderedPageBreak/>
        <w:t>using the</w:t>
      </w:r>
      <w:r w:rsidR="005F5151">
        <w:rPr>
          <w:rFonts w:ascii="Times New Roman" w:hAnsi="Times New Roman" w:cs="Times New Roman"/>
          <w:szCs w:val="20"/>
          <w:lang w:val="en-GB"/>
        </w:rPr>
        <w:t xml:space="preserve"> </w:t>
      </w:r>
      <w:r w:rsidR="005F5151" w:rsidRPr="005F5151">
        <w:rPr>
          <w:rFonts w:ascii="Times New Roman" w:hAnsi="Times New Roman" w:cs="Times New Roman"/>
          <w:szCs w:val="20"/>
          <w:lang w:val="en-GB"/>
        </w:rPr>
        <w:t>Quant-</w:t>
      </w:r>
      <w:proofErr w:type="spellStart"/>
      <w:r w:rsidR="005F5151" w:rsidRPr="005F5151">
        <w:rPr>
          <w:rFonts w:ascii="Times New Roman" w:hAnsi="Times New Roman" w:cs="Times New Roman"/>
          <w:szCs w:val="20"/>
          <w:lang w:val="en-GB"/>
        </w:rPr>
        <w:t>iT</w:t>
      </w:r>
      <w:proofErr w:type="spellEnd"/>
      <w:r w:rsidR="005F5151" w:rsidRPr="005F5151">
        <w:rPr>
          <w:rFonts w:ascii="Times New Roman" w:hAnsi="Times New Roman" w:cs="Times New Roman"/>
          <w:szCs w:val="20"/>
          <w:lang w:val="en-GB"/>
        </w:rPr>
        <w:t xml:space="preserve">™ </w:t>
      </w:r>
      <w:proofErr w:type="spellStart"/>
      <w:r w:rsidR="005F5151" w:rsidRPr="005F5151">
        <w:rPr>
          <w:rFonts w:ascii="Times New Roman" w:hAnsi="Times New Roman" w:cs="Times New Roman"/>
          <w:szCs w:val="20"/>
          <w:lang w:val="en-GB"/>
        </w:rPr>
        <w:t>PicoGreen</w:t>
      </w:r>
      <w:proofErr w:type="spellEnd"/>
      <w:r w:rsidR="005F5151" w:rsidRPr="005F5151">
        <w:rPr>
          <w:rFonts w:ascii="Times New Roman" w:hAnsi="Times New Roman" w:cs="Times New Roman"/>
          <w:szCs w:val="20"/>
          <w:lang w:val="en-GB"/>
        </w:rPr>
        <w:t>™ dsDNA Assay Kit</w:t>
      </w:r>
      <w:r w:rsidR="005F5151">
        <w:rPr>
          <w:rFonts w:ascii="Times New Roman" w:hAnsi="Times New Roman" w:cs="Times New Roman"/>
          <w:szCs w:val="20"/>
          <w:lang w:val="en-GB"/>
        </w:rPr>
        <w:t xml:space="preserve"> (</w:t>
      </w:r>
      <w:proofErr w:type="spellStart"/>
      <w:r w:rsidR="005F5151">
        <w:rPr>
          <w:rFonts w:ascii="Times New Roman" w:hAnsi="Times New Roman" w:cs="Times New Roman"/>
          <w:szCs w:val="20"/>
          <w:lang w:val="en-GB"/>
        </w:rPr>
        <w:t>Thermo</w:t>
      </w:r>
      <w:proofErr w:type="spellEnd"/>
      <w:r w:rsidR="005F5151">
        <w:rPr>
          <w:rFonts w:ascii="Times New Roman" w:hAnsi="Times New Roman" w:cs="Times New Roman"/>
          <w:szCs w:val="20"/>
          <w:lang w:val="en-GB"/>
        </w:rPr>
        <w:t xml:space="preserve"> Fisher Scientific</w:t>
      </w:r>
      <w:proofErr w:type="gramStart"/>
      <w:r w:rsidR="005F5151">
        <w:rPr>
          <w:rFonts w:ascii="Times New Roman" w:hAnsi="Times New Roman" w:cs="Times New Roman"/>
          <w:szCs w:val="20"/>
          <w:lang w:val="en-GB"/>
        </w:rPr>
        <w:t>)</w:t>
      </w:r>
      <w:r w:rsidR="005F5151" w:rsidRPr="005F5151">
        <w:rPr>
          <w:rFonts w:ascii="Times New Roman" w:hAnsi="Times New Roman" w:cs="Times New Roman"/>
          <w:szCs w:val="20"/>
          <w:lang w:val="en-GB"/>
        </w:rPr>
        <w:t xml:space="preserve"> </w:t>
      </w:r>
      <w:r w:rsidRPr="00906E2C">
        <w:rPr>
          <w:rFonts w:ascii="Times New Roman" w:hAnsi="Times New Roman" w:cs="Times New Roman"/>
          <w:szCs w:val="20"/>
          <w:lang w:val="en-GB"/>
        </w:rPr>
        <w:t>,</w:t>
      </w:r>
      <w:proofErr w:type="gramEnd"/>
      <w:r w:rsidRPr="00906E2C">
        <w:rPr>
          <w:rFonts w:ascii="Times New Roman" w:hAnsi="Times New Roman" w:cs="Times New Roman"/>
          <w:szCs w:val="20"/>
          <w:lang w:val="en-GB"/>
        </w:rPr>
        <w:t xml:space="preserve"> and fluorescence measurements were carried out on a Tecan Infinite® 200 PRO microplate reader (Tecan Group Ltd.).</w:t>
      </w:r>
    </w:p>
    <w:p w14:paraId="7677AA03" w14:textId="77777777" w:rsidR="00906E2C" w:rsidRPr="00CC51E5" w:rsidRDefault="00906E2C" w:rsidP="00CC51E5">
      <w:pPr>
        <w:pStyle w:val="Sansinterligne"/>
        <w:spacing w:after="80" w:line="360" w:lineRule="auto"/>
        <w:rPr>
          <w:rFonts w:ascii="Times New Roman" w:hAnsi="Times New Roman" w:cs="Times New Roman"/>
          <w:szCs w:val="20"/>
          <w:lang w:val="en-US"/>
        </w:rPr>
      </w:pPr>
    </w:p>
    <w:p w14:paraId="2DB218D0" w14:textId="464E16A2" w:rsidR="002F25FA" w:rsidRPr="002F25FA" w:rsidRDefault="00CC51E5" w:rsidP="002F25FA">
      <w:pPr>
        <w:pStyle w:val="Sansinterligne"/>
        <w:spacing w:after="80" w:line="360" w:lineRule="auto"/>
        <w:rPr>
          <w:rFonts w:ascii="Times New Roman" w:hAnsi="Times New Roman" w:cs="Times New Roman"/>
          <w:szCs w:val="20"/>
          <w:lang w:val="en-US"/>
        </w:rPr>
      </w:pPr>
      <w:r w:rsidRPr="00CC51E5">
        <w:rPr>
          <w:rFonts w:ascii="Times New Roman" w:hAnsi="Times New Roman" w:cs="Times New Roman"/>
          <w:szCs w:val="20"/>
          <w:lang w:val="en-US"/>
        </w:rPr>
        <w:t xml:space="preserve"> </w:t>
      </w:r>
      <w:r w:rsidRPr="00CC51E5">
        <w:rPr>
          <w:rFonts w:ascii="Times New Roman" w:hAnsi="Times New Roman" w:cs="Times New Roman"/>
          <w:b/>
          <w:bCs/>
          <w:szCs w:val="20"/>
          <w:lang w:val="en-US"/>
        </w:rPr>
        <w:t xml:space="preserve">Library preparation and sequencing: </w:t>
      </w:r>
    </w:p>
    <w:p w14:paraId="31ECD6F5" w14:textId="4CF10049" w:rsidR="00CC51E5" w:rsidRPr="00C777BE" w:rsidRDefault="002F25FA" w:rsidP="002F25FA">
      <w:pPr>
        <w:pStyle w:val="Sansinterligne"/>
        <w:spacing w:after="80" w:line="360" w:lineRule="auto"/>
        <w:jc w:val="both"/>
        <w:rPr>
          <w:rFonts w:ascii="Times New Roman" w:hAnsi="Times New Roman" w:cs="Times New Roman"/>
          <w:szCs w:val="20"/>
          <w:lang w:val="en-US"/>
        </w:rPr>
      </w:pPr>
      <w:r w:rsidRPr="002F25FA">
        <w:rPr>
          <w:rFonts w:ascii="Times New Roman" w:hAnsi="Times New Roman" w:cs="Times New Roman"/>
          <w:szCs w:val="20"/>
          <w:lang w:val="en-US"/>
        </w:rPr>
        <w:t>Amplicon libraries targeting the V3–V4 region of the 16S rRNA gene were prepared using a two-step PCR protocol</w:t>
      </w:r>
      <w:r>
        <w:rPr>
          <w:rFonts w:ascii="Times New Roman" w:hAnsi="Times New Roman" w:cs="Times New Roman"/>
          <w:szCs w:val="20"/>
          <w:lang w:val="en-US"/>
        </w:rPr>
        <w:t xml:space="preserve"> (</w:t>
      </w:r>
      <w:r w:rsidRPr="002F25FA">
        <w:rPr>
          <w:rFonts w:ascii="Times New Roman" w:hAnsi="Times New Roman" w:cs="Times New Roman"/>
          <w:szCs w:val="20"/>
          <w:lang w:val="en-US"/>
        </w:rPr>
        <w:t xml:space="preserve">1st Step PCR </w:t>
      </w:r>
      <w:r>
        <w:rPr>
          <w:rFonts w:ascii="Times New Roman" w:hAnsi="Times New Roman" w:cs="Times New Roman"/>
          <w:szCs w:val="20"/>
          <w:lang w:val="en-US"/>
        </w:rPr>
        <w:t xml:space="preserve">of </w:t>
      </w:r>
      <w:r w:rsidRPr="002F25FA">
        <w:rPr>
          <w:rFonts w:ascii="Times New Roman" w:hAnsi="Times New Roman" w:cs="Times New Roman"/>
          <w:szCs w:val="20"/>
          <w:lang w:val="en-US"/>
        </w:rPr>
        <w:t>20 cycles</w:t>
      </w:r>
      <w:r>
        <w:rPr>
          <w:rFonts w:ascii="Times New Roman" w:hAnsi="Times New Roman" w:cs="Times New Roman"/>
          <w:szCs w:val="20"/>
          <w:lang w:val="en-US"/>
        </w:rPr>
        <w:t xml:space="preserve"> and </w:t>
      </w:r>
      <w:r w:rsidRPr="002F25FA">
        <w:rPr>
          <w:rFonts w:ascii="Times New Roman" w:hAnsi="Times New Roman" w:cs="Times New Roman"/>
          <w:szCs w:val="20"/>
          <w:lang w:val="en-US"/>
        </w:rPr>
        <w:t xml:space="preserve">2nd Step PCR </w:t>
      </w:r>
      <w:r>
        <w:rPr>
          <w:rFonts w:ascii="Times New Roman" w:hAnsi="Times New Roman" w:cs="Times New Roman"/>
          <w:szCs w:val="20"/>
          <w:lang w:val="en-US"/>
        </w:rPr>
        <w:t xml:space="preserve">of </w:t>
      </w:r>
      <w:r w:rsidRPr="002F25FA">
        <w:rPr>
          <w:rFonts w:ascii="Times New Roman" w:hAnsi="Times New Roman" w:cs="Times New Roman"/>
          <w:szCs w:val="20"/>
          <w:lang w:val="en-US"/>
        </w:rPr>
        <w:t>10</w:t>
      </w:r>
      <w:r>
        <w:rPr>
          <w:rFonts w:ascii="Times New Roman" w:hAnsi="Times New Roman" w:cs="Times New Roman"/>
          <w:szCs w:val="20"/>
          <w:lang w:val="en-US"/>
        </w:rPr>
        <w:t xml:space="preserve"> or 12</w:t>
      </w:r>
      <w:r w:rsidRPr="002F25FA">
        <w:rPr>
          <w:rFonts w:ascii="Times New Roman" w:hAnsi="Times New Roman" w:cs="Times New Roman"/>
          <w:szCs w:val="20"/>
          <w:lang w:val="en-US"/>
        </w:rPr>
        <w:t xml:space="preserve"> cycles) with Illumina </w:t>
      </w:r>
      <w:proofErr w:type="spellStart"/>
      <w:r w:rsidRPr="002F25FA">
        <w:rPr>
          <w:rFonts w:ascii="Times New Roman" w:hAnsi="Times New Roman" w:cs="Times New Roman"/>
          <w:szCs w:val="20"/>
          <w:lang w:val="en-US"/>
        </w:rPr>
        <w:t>Nextera</w:t>
      </w:r>
      <w:proofErr w:type="spellEnd"/>
      <w:r w:rsidRPr="002F25FA">
        <w:rPr>
          <w:rFonts w:ascii="Times New Roman" w:hAnsi="Times New Roman" w:cs="Times New Roman"/>
          <w:szCs w:val="20"/>
          <w:lang w:val="en-US"/>
        </w:rPr>
        <w:t xml:space="preserve"> barcoded primers. Following amplification, libraries were purified, quantified, and pooled in equimolar concentrations. Sequencing was performed on an Illumina </w:t>
      </w:r>
      <w:proofErr w:type="spellStart"/>
      <w:r w:rsidRPr="002F25FA">
        <w:rPr>
          <w:rFonts w:ascii="Times New Roman" w:hAnsi="Times New Roman" w:cs="Times New Roman"/>
          <w:szCs w:val="20"/>
          <w:lang w:val="en-US"/>
        </w:rPr>
        <w:t>MiSeq</w:t>
      </w:r>
      <w:proofErr w:type="spellEnd"/>
      <w:r w:rsidRPr="002F25FA">
        <w:rPr>
          <w:rFonts w:ascii="Times New Roman" w:hAnsi="Times New Roman" w:cs="Times New Roman"/>
          <w:szCs w:val="20"/>
          <w:lang w:val="en-US"/>
        </w:rPr>
        <w:t xml:space="preserve"> platform using the v2 chemistry (2 × 250 bp </w:t>
      </w:r>
      <w:proofErr w:type="gramStart"/>
      <w:r w:rsidRPr="002F25FA">
        <w:rPr>
          <w:rFonts w:ascii="Times New Roman" w:hAnsi="Times New Roman" w:cs="Times New Roman"/>
          <w:szCs w:val="20"/>
          <w:lang w:val="en-US"/>
        </w:rPr>
        <w:t>paired-end</w:t>
      </w:r>
      <w:proofErr w:type="gramEnd"/>
      <w:r w:rsidRPr="002F25FA">
        <w:rPr>
          <w:rFonts w:ascii="Times New Roman" w:hAnsi="Times New Roman" w:cs="Times New Roman"/>
          <w:szCs w:val="20"/>
          <w:lang w:val="en-US"/>
        </w:rPr>
        <w:t xml:space="preserve"> reads). Raw reads were subsequently demultiplexed and trimmed to remove any remaining Illumina adaptor sequences using standard bioinformatics pipelines.</w:t>
      </w:r>
    </w:p>
    <w:p w14:paraId="6185282E" w14:textId="77777777" w:rsidR="00CC51E5" w:rsidRDefault="00CC51E5" w:rsidP="00123974">
      <w:pPr>
        <w:spacing w:after="80" w:line="360" w:lineRule="auto"/>
        <w:rPr>
          <w:rFonts w:ascii="Times New Roman" w:hAnsi="Times New Roman" w:cs="Times New Roman"/>
          <w:b/>
          <w:bCs/>
          <w:sz w:val="20"/>
          <w:szCs w:val="20"/>
        </w:rPr>
      </w:pPr>
    </w:p>
    <w:p w14:paraId="1DF082D0" w14:textId="7AF69A2A" w:rsidR="00C777BE" w:rsidRPr="00C777BE" w:rsidRDefault="00C777BE" w:rsidP="00123974">
      <w:pPr>
        <w:spacing w:after="80" w:line="360" w:lineRule="auto"/>
        <w:rPr>
          <w:rFonts w:ascii="Times New Roman" w:hAnsi="Times New Roman" w:cs="Times New Roman"/>
          <w:b/>
          <w:bCs/>
          <w:sz w:val="20"/>
          <w:szCs w:val="20"/>
        </w:rPr>
      </w:pPr>
      <w:r w:rsidRPr="00C777BE">
        <w:rPr>
          <w:rFonts w:ascii="Times New Roman" w:hAnsi="Times New Roman" w:cs="Times New Roman"/>
          <w:b/>
          <w:bCs/>
          <w:sz w:val="20"/>
          <w:szCs w:val="20"/>
        </w:rPr>
        <w:t>Bioinformatics Analysis of 16S rRNA Gene Amplicon Sequencing Data</w:t>
      </w:r>
    </w:p>
    <w:p w14:paraId="2ED730B8" w14:textId="77777777" w:rsidR="00C777BE" w:rsidRPr="00C777BE" w:rsidRDefault="00C777BE" w:rsidP="00123974">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 xml:space="preserve">Six samples collected after treatment were excluded from 16S rRNA gene amplicon sequencing due to insufficient cell counts, which resulted in insufficient genomic DNA for sequencing. Sequencing generated paired-end FASTQ files, which were processed using a standardized bioinformatics pipeline implemented in the dada2 package in R (Callahan et al., 2016). </w:t>
      </w:r>
    </w:p>
    <w:p w14:paraId="1074BD71" w14:textId="77777777" w:rsidR="00C777BE" w:rsidRPr="00C777BE" w:rsidRDefault="00C777BE" w:rsidP="00123974">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 xml:space="preserve">First, we checked the quality of raw sequencing reads using the </w:t>
      </w:r>
      <w:proofErr w:type="spellStart"/>
      <w:r w:rsidRPr="00C777BE">
        <w:rPr>
          <w:rFonts w:ascii="Times New Roman" w:hAnsi="Times New Roman" w:cs="Times New Roman"/>
          <w:sz w:val="20"/>
          <w:szCs w:val="20"/>
        </w:rPr>
        <w:t>plotQualityProfile</w:t>
      </w:r>
      <w:proofErr w:type="spellEnd"/>
      <w:r w:rsidRPr="00C777BE">
        <w:rPr>
          <w:rFonts w:ascii="Times New Roman" w:hAnsi="Times New Roman" w:cs="Times New Roman"/>
          <w:sz w:val="20"/>
          <w:szCs w:val="20"/>
        </w:rPr>
        <w:t xml:space="preserve">. The forward and reverse reads were then filtered and trimmed using </w:t>
      </w:r>
      <w:proofErr w:type="spellStart"/>
      <w:r w:rsidRPr="00C777BE">
        <w:rPr>
          <w:rFonts w:ascii="Times New Roman" w:hAnsi="Times New Roman" w:cs="Times New Roman"/>
          <w:sz w:val="20"/>
          <w:szCs w:val="20"/>
        </w:rPr>
        <w:t>filterAndTrim</w:t>
      </w:r>
      <w:proofErr w:type="spellEnd"/>
      <w:r w:rsidRPr="00C777BE">
        <w:rPr>
          <w:rFonts w:ascii="Times New Roman" w:hAnsi="Times New Roman" w:cs="Times New Roman"/>
          <w:sz w:val="20"/>
          <w:szCs w:val="20"/>
        </w:rPr>
        <w:t xml:space="preserve">. Amplicon Sequence Variants (ASVs) were inferred as follows: error rates were learned from the filtered reads using </w:t>
      </w:r>
      <w:proofErr w:type="spellStart"/>
      <w:r w:rsidRPr="00C777BE">
        <w:rPr>
          <w:rFonts w:ascii="Times New Roman" w:hAnsi="Times New Roman" w:cs="Times New Roman"/>
          <w:sz w:val="20"/>
          <w:szCs w:val="20"/>
        </w:rPr>
        <w:t>learnErrors</w:t>
      </w:r>
      <w:proofErr w:type="spellEnd"/>
      <w:r w:rsidRPr="00C777BE">
        <w:rPr>
          <w:rFonts w:ascii="Times New Roman" w:hAnsi="Times New Roman" w:cs="Times New Roman"/>
          <w:sz w:val="20"/>
          <w:szCs w:val="20"/>
        </w:rPr>
        <w:t xml:space="preserve">, and sequence denoising was performed on both forward and reverse reads. Paired-end reads were merged using </w:t>
      </w:r>
      <w:proofErr w:type="spellStart"/>
      <w:r w:rsidRPr="00C777BE">
        <w:rPr>
          <w:rFonts w:ascii="Times New Roman" w:hAnsi="Times New Roman" w:cs="Times New Roman"/>
          <w:sz w:val="20"/>
          <w:szCs w:val="20"/>
        </w:rPr>
        <w:t>mergePairs</w:t>
      </w:r>
      <w:proofErr w:type="spellEnd"/>
      <w:r w:rsidRPr="00C777BE">
        <w:rPr>
          <w:rFonts w:ascii="Times New Roman" w:hAnsi="Times New Roman" w:cs="Times New Roman"/>
          <w:sz w:val="20"/>
          <w:szCs w:val="20"/>
        </w:rPr>
        <w:t xml:space="preserve">, and a sequence table was generated using </w:t>
      </w:r>
      <w:proofErr w:type="spellStart"/>
      <w:r w:rsidRPr="00C777BE">
        <w:rPr>
          <w:rFonts w:ascii="Times New Roman" w:hAnsi="Times New Roman" w:cs="Times New Roman"/>
          <w:sz w:val="20"/>
          <w:szCs w:val="20"/>
        </w:rPr>
        <w:t>makeSequenceTable</w:t>
      </w:r>
      <w:proofErr w:type="spellEnd"/>
      <w:r w:rsidRPr="00C777BE">
        <w:rPr>
          <w:rFonts w:ascii="Times New Roman" w:hAnsi="Times New Roman" w:cs="Times New Roman"/>
          <w:sz w:val="20"/>
          <w:szCs w:val="20"/>
        </w:rPr>
        <w:t xml:space="preserve">. Finally, chimeric sequences were identified and removed </w:t>
      </w:r>
      <w:proofErr w:type="spellStart"/>
      <w:r w:rsidRPr="00C777BE">
        <w:rPr>
          <w:rFonts w:ascii="Times New Roman" w:hAnsi="Times New Roman" w:cs="Times New Roman"/>
          <w:sz w:val="20"/>
          <w:szCs w:val="20"/>
        </w:rPr>
        <w:t>usinf</w:t>
      </w:r>
      <w:proofErr w:type="spellEnd"/>
      <w:r w:rsidRPr="00C777BE">
        <w:rPr>
          <w:rFonts w:ascii="Times New Roman" w:hAnsi="Times New Roman" w:cs="Times New Roman"/>
          <w:sz w:val="20"/>
          <w:szCs w:val="20"/>
        </w:rPr>
        <w:t xml:space="preserve"> </w:t>
      </w:r>
      <w:proofErr w:type="spellStart"/>
      <w:r w:rsidRPr="00C777BE">
        <w:rPr>
          <w:rFonts w:ascii="Times New Roman" w:hAnsi="Times New Roman" w:cs="Times New Roman"/>
          <w:sz w:val="20"/>
          <w:szCs w:val="20"/>
        </w:rPr>
        <w:t>removeBimeraDenovo</w:t>
      </w:r>
      <w:proofErr w:type="spellEnd"/>
      <w:r w:rsidRPr="00C777BE">
        <w:rPr>
          <w:rFonts w:ascii="Times New Roman" w:hAnsi="Times New Roman" w:cs="Times New Roman"/>
          <w:sz w:val="20"/>
          <w:szCs w:val="20"/>
        </w:rPr>
        <w:t xml:space="preserve"> with the consensus method. Out of 11,385 input sequences, 9,931 chimeras were detected and removed. ASVs were taxonomically assigned using the SILVA ribosomal RNA gene database (v138.1) (McLaren and Callahan, 2021; Quast et al., 2013). The </w:t>
      </w:r>
      <w:proofErr w:type="spellStart"/>
      <w:r w:rsidRPr="00C777BE">
        <w:rPr>
          <w:rFonts w:ascii="Times New Roman" w:hAnsi="Times New Roman" w:cs="Times New Roman"/>
          <w:sz w:val="20"/>
          <w:szCs w:val="20"/>
        </w:rPr>
        <w:t>assignTaxomy</w:t>
      </w:r>
      <w:proofErr w:type="spellEnd"/>
      <w:r w:rsidRPr="00C777BE">
        <w:rPr>
          <w:rFonts w:ascii="Times New Roman" w:hAnsi="Times New Roman" w:cs="Times New Roman"/>
          <w:sz w:val="20"/>
          <w:szCs w:val="20"/>
        </w:rPr>
        <w:t xml:space="preserve"> function was used to assign genera, and </w:t>
      </w:r>
      <w:proofErr w:type="spellStart"/>
      <w:r w:rsidRPr="00C777BE">
        <w:rPr>
          <w:rFonts w:ascii="Times New Roman" w:hAnsi="Times New Roman" w:cs="Times New Roman"/>
          <w:sz w:val="20"/>
          <w:szCs w:val="20"/>
        </w:rPr>
        <w:t>addSpecies</w:t>
      </w:r>
      <w:proofErr w:type="spellEnd"/>
      <w:r w:rsidRPr="00C777BE">
        <w:rPr>
          <w:rFonts w:ascii="Times New Roman" w:hAnsi="Times New Roman" w:cs="Times New Roman"/>
          <w:sz w:val="20"/>
          <w:szCs w:val="20"/>
        </w:rPr>
        <w:t xml:space="preserve"> was used to assign species using the SILVA species database. The resulting ASV table, taxonomy table and metadata were exported as CSV file for downstream analyses. An additional six post-treatment samples were excluded from further analysis due to insufficient ASV counts. A total of 15 ASVs were assigned to the </w:t>
      </w:r>
      <w:r w:rsidRPr="00C777BE">
        <w:rPr>
          <w:rFonts w:ascii="Times New Roman" w:hAnsi="Times New Roman" w:cs="Times New Roman"/>
          <w:i/>
          <w:iCs/>
          <w:sz w:val="20"/>
          <w:szCs w:val="20"/>
        </w:rPr>
        <w:t>Legionella</w:t>
      </w:r>
      <w:r w:rsidRPr="00C777BE">
        <w:rPr>
          <w:rFonts w:ascii="Times New Roman" w:hAnsi="Times New Roman" w:cs="Times New Roman"/>
          <w:sz w:val="20"/>
          <w:szCs w:val="20"/>
        </w:rPr>
        <w:t xml:space="preserve"> genus (ASV281, ASV353, ASV737 belong to </w:t>
      </w:r>
      <w:r w:rsidRPr="00C777BE">
        <w:rPr>
          <w:rFonts w:ascii="Times New Roman" w:hAnsi="Times New Roman" w:cs="Times New Roman"/>
          <w:i/>
          <w:iCs/>
          <w:sz w:val="20"/>
          <w:szCs w:val="20"/>
        </w:rPr>
        <w:t xml:space="preserve">L. anisa, </w:t>
      </w:r>
      <w:r w:rsidRPr="00C777BE">
        <w:rPr>
          <w:rFonts w:ascii="Times New Roman" w:hAnsi="Times New Roman" w:cs="Times New Roman"/>
          <w:sz w:val="20"/>
          <w:szCs w:val="20"/>
        </w:rPr>
        <w:t xml:space="preserve">ASV346 belong to </w:t>
      </w:r>
      <w:r w:rsidRPr="00C777BE">
        <w:rPr>
          <w:rFonts w:ascii="Times New Roman" w:hAnsi="Times New Roman" w:cs="Times New Roman"/>
          <w:i/>
          <w:iCs/>
          <w:sz w:val="20"/>
          <w:szCs w:val="20"/>
        </w:rPr>
        <w:t xml:space="preserve">L. </w:t>
      </w:r>
      <w:proofErr w:type="spellStart"/>
      <w:r w:rsidRPr="00C777BE">
        <w:rPr>
          <w:rFonts w:ascii="Times New Roman" w:hAnsi="Times New Roman" w:cs="Times New Roman"/>
          <w:i/>
          <w:iCs/>
          <w:sz w:val="20"/>
          <w:szCs w:val="20"/>
        </w:rPr>
        <w:t>worsleiensis</w:t>
      </w:r>
      <w:proofErr w:type="spellEnd"/>
      <w:r w:rsidRPr="00C777BE">
        <w:rPr>
          <w:rFonts w:ascii="Times New Roman" w:hAnsi="Times New Roman" w:cs="Times New Roman"/>
          <w:sz w:val="20"/>
          <w:szCs w:val="20"/>
        </w:rPr>
        <w:t xml:space="preserve">, ASV389, ASV572, ASV587, ASV1223 belong to </w:t>
      </w:r>
      <w:r w:rsidRPr="00C777BE">
        <w:rPr>
          <w:rFonts w:ascii="Times New Roman" w:hAnsi="Times New Roman" w:cs="Times New Roman"/>
          <w:i/>
          <w:iCs/>
          <w:sz w:val="20"/>
          <w:szCs w:val="20"/>
        </w:rPr>
        <w:t>L. pneumophila</w:t>
      </w:r>
      <w:r w:rsidRPr="00C777BE">
        <w:rPr>
          <w:rFonts w:ascii="Times New Roman" w:hAnsi="Times New Roman" w:cs="Times New Roman"/>
          <w:sz w:val="20"/>
          <w:szCs w:val="20"/>
        </w:rPr>
        <w:t xml:space="preserve">, ASV647 belong to </w:t>
      </w:r>
      <w:r w:rsidRPr="00C777BE">
        <w:rPr>
          <w:rFonts w:ascii="Times New Roman" w:hAnsi="Times New Roman" w:cs="Times New Roman"/>
          <w:i/>
          <w:iCs/>
          <w:sz w:val="20"/>
          <w:szCs w:val="20"/>
        </w:rPr>
        <w:t xml:space="preserve">L. </w:t>
      </w:r>
      <w:proofErr w:type="spellStart"/>
      <w:r w:rsidRPr="00C777BE">
        <w:rPr>
          <w:rFonts w:ascii="Times New Roman" w:hAnsi="Times New Roman" w:cs="Times New Roman"/>
          <w:i/>
          <w:iCs/>
          <w:sz w:val="20"/>
          <w:szCs w:val="20"/>
        </w:rPr>
        <w:t>rowbothamii</w:t>
      </w:r>
      <w:proofErr w:type="spellEnd"/>
      <w:r w:rsidRPr="00C777BE">
        <w:rPr>
          <w:rFonts w:ascii="Times New Roman" w:hAnsi="Times New Roman" w:cs="Times New Roman"/>
          <w:sz w:val="20"/>
          <w:szCs w:val="20"/>
        </w:rPr>
        <w:t xml:space="preserve">, ASV1069, ASV1344 belong to </w:t>
      </w:r>
      <w:r w:rsidRPr="00C777BE">
        <w:rPr>
          <w:rFonts w:ascii="Times New Roman" w:hAnsi="Times New Roman" w:cs="Times New Roman"/>
          <w:i/>
          <w:iCs/>
          <w:sz w:val="20"/>
          <w:szCs w:val="20"/>
        </w:rPr>
        <w:t xml:space="preserve">L. </w:t>
      </w:r>
      <w:proofErr w:type="spellStart"/>
      <w:r w:rsidRPr="00C777BE">
        <w:rPr>
          <w:rFonts w:ascii="Times New Roman" w:hAnsi="Times New Roman" w:cs="Times New Roman"/>
          <w:i/>
          <w:iCs/>
          <w:sz w:val="20"/>
          <w:szCs w:val="20"/>
        </w:rPr>
        <w:t>qingyii</w:t>
      </w:r>
      <w:proofErr w:type="spellEnd"/>
      <w:r w:rsidRPr="00C777BE">
        <w:rPr>
          <w:rFonts w:ascii="Times New Roman" w:hAnsi="Times New Roman" w:cs="Times New Roman"/>
          <w:sz w:val="20"/>
          <w:szCs w:val="20"/>
        </w:rPr>
        <w:t xml:space="preserve">, ASV1239 belong to </w:t>
      </w:r>
      <w:r w:rsidRPr="00C777BE">
        <w:rPr>
          <w:rFonts w:ascii="Times New Roman" w:hAnsi="Times New Roman" w:cs="Times New Roman"/>
          <w:i/>
          <w:iCs/>
          <w:sz w:val="20"/>
          <w:szCs w:val="20"/>
        </w:rPr>
        <w:t xml:space="preserve">L. </w:t>
      </w:r>
      <w:proofErr w:type="spellStart"/>
      <w:r w:rsidRPr="00C777BE">
        <w:rPr>
          <w:rFonts w:ascii="Times New Roman" w:hAnsi="Times New Roman" w:cs="Times New Roman"/>
          <w:i/>
          <w:iCs/>
          <w:sz w:val="20"/>
          <w:szCs w:val="20"/>
        </w:rPr>
        <w:t>norrlandica</w:t>
      </w:r>
      <w:proofErr w:type="spellEnd"/>
      <w:r w:rsidRPr="00C777BE">
        <w:rPr>
          <w:rFonts w:ascii="Times New Roman" w:hAnsi="Times New Roman" w:cs="Times New Roman"/>
          <w:sz w:val="20"/>
          <w:szCs w:val="20"/>
        </w:rPr>
        <w:t xml:space="preserve">, ASV580, ASV1122, ASV1227 are uncultured </w:t>
      </w:r>
      <w:r w:rsidRPr="00C777BE">
        <w:rPr>
          <w:rFonts w:ascii="Times New Roman" w:hAnsi="Times New Roman" w:cs="Times New Roman"/>
          <w:i/>
          <w:iCs/>
          <w:sz w:val="20"/>
          <w:szCs w:val="20"/>
        </w:rPr>
        <w:t>L. spp.</w:t>
      </w:r>
      <w:r w:rsidRPr="00C777BE">
        <w:rPr>
          <w:rFonts w:ascii="Times New Roman" w:hAnsi="Times New Roman" w:cs="Times New Roman"/>
          <w:sz w:val="20"/>
          <w:szCs w:val="20"/>
        </w:rPr>
        <w:t>).</w:t>
      </w:r>
    </w:p>
    <w:p w14:paraId="24B772F2" w14:textId="77777777" w:rsidR="00C777BE" w:rsidRPr="00C777BE" w:rsidRDefault="00C777BE" w:rsidP="00123974">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 xml:space="preserve">Microbial community analysis was performed using the R package </w:t>
      </w:r>
      <w:proofErr w:type="spellStart"/>
      <w:r w:rsidRPr="00C777BE">
        <w:rPr>
          <w:rFonts w:ascii="Times New Roman" w:hAnsi="Times New Roman" w:cs="Times New Roman"/>
          <w:sz w:val="20"/>
          <w:szCs w:val="20"/>
        </w:rPr>
        <w:t>phyloseq</w:t>
      </w:r>
      <w:proofErr w:type="spellEnd"/>
      <w:r w:rsidRPr="00C777BE">
        <w:rPr>
          <w:rFonts w:ascii="Times New Roman" w:hAnsi="Times New Roman" w:cs="Times New Roman"/>
          <w:sz w:val="20"/>
          <w:szCs w:val="20"/>
        </w:rPr>
        <w:t xml:space="preserve"> (Callahan et al., 2016). Metadata, ASV taxonomy and ASV abundance tables were imported. Two </w:t>
      </w:r>
      <w:proofErr w:type="spellStart"/>
      <w:r w:rsidRPr="00C777BE">
        <w:rPr>
          <w:rFonts w:ascii="Times New Roman" w:hAnsi="Times New Roman" w:cs="Times New Roman"/>
          <w:sz w:val="20"/>
          <w:szCs w:val="20"/>
        </w:rPr>
        <w:t>Phyloseq</w:t>
      </w:r>
      <w:proofErr w:type="spellEnd"/>
      <w:r w:rsidRPr="00C777BE">
        <w:rPr>
          <w:rFonts w:ascii="Times New Roman" w:hAnsi="Times New Roman" w:cs="Times New Roman"/>
          <w:sz w:val="20"/>
          <w:szCs w:val="20"/>
        </w:rPr>
        <w:t xml:space="preserve"> objects were created by combining the processed ASV abundance table (relative abundance and absolute abundance), taxonomy table, and metadata.</w:t>
      </w:r>
    </w:p>
    <w:p w14:paraId="2CC16776" w14:textId="3476DC65" w:rsidR="00C777BE" w:rsidRPr="00C777BE" w:rsidRDefault="00C777BE" w:rsidP="00123974">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 xml:space="preserve">Alpha diversity (Observed, Shannon, Simpson) was calculated from the raw ASV data (relative abundance table). Diversity metrics were examined across Treatment, Biofilm age, Location, and presence or absence of </w:t>
      </w:r>
      <w:r w:rsidRPr="00C777BE">
        <w:rPr>
          <w:rFonts w:ascii="Times New Roman" w:hAnsi="Times New Roman" w:cs="Times New Roman"/>
          <w:i/>
          <w:iCs/>
          <w:sz w:val="20"/>
          <w:szCs w:val="20"/>
        </w:rPr>
        <w:t xml:space="preserve">L. pneumophila. </w:t>
      </w:r>
      <w:r w:rsidRPr="00C777BE">
        <w:rPr>
          <w:rFonts w:ascii="Times New Roman" w:hAnsi="Times New Roman" w:cs="Times New Roman"/>
          <w:sz w:val="20"/>
          <w:szCs w:val="20"/>
        </w:rPr>
        <w:t>Alpha diversities including observed ASVs, Shannon index, and Simpson index were plotted. Statistical significance was assessed using the Kruskal-</w:t>
      </w:r>
      <w:proofErr w:type="gramStart"/>
      <w:r w:rsidRPr="00C777BE">
        <w:rPr>
          <w:rFonts w:ascii="Times New Roman" w:hAnsi="Times New Roman" w:cs="Times New Roman"/>
          <w:sz w:val="20"/>
          <w:szCs w:val="20"/>
        </w:rPr>
        <w:t>Wallis</w:t>
      </w:r>
      <w:proofErr w:type="gramEnd"/>
      <w:r w:rsidRPr="00C777BE">
        <w:rPr>
          <w:rFonts w:ascii="Times New Roman" w:hAnsi="Times New Roman" w:cs="Times New Roman"/>
          <w:sz w:val="20"/>
          <w:szCs w:val="20"/>
        </w:rPr>
        <w:t xml:space="preserve"> test followed by Dunn’s post hoc test (Avalos-Fernandez et al., 2022; </w:t>
      </w:r>
      <w:proofErr w:type="spellStart"/>
      <w:r w:rsidRPr="00C777BE">
        <w:rPr>
          <w:rFonts w:ascii="Times New Roman" w:hAnsi="Times New Roman" w:cs="Times New Roman"/>
          <w:sz w:val="20"/>
          <w:szCs w:val="20"/>
        </w:rPr>
        <w:t>Cassol</w:t>
      </w:r>
      <w:proofErr w:type="spellEnd"/>
      <w:r w:rsidRPr="00C777BE">
        <w:rPr>
          <w:rFonts w:ascii="Times New Roman" w:hAnsi="Times New Roman" w:cs="Times New Roman"/>
          <w:sz w:val="20"/>
          <w:szCs w:val="20"/>
        </w:rPr>
        <w:t xml:space="preserve"> et al., 2025; </w:t>
      </w:r>
      <w:proofErr w:type="spellStart"/>
      <w:r w:rsidRPr="00C777BE">
        <w:rPr>
          <w:rFonts w:ascii="Times New Roman" w:hAnsi="Times New Roman" w:cs="Times New Roman"/>
          <w:sz w:val="20"/>
          <w:szCs w:val="20"/>
        </w:rPr>
        <w:t>Kers</w:t>
      </w:r>
      <w:proofErr w:type="spellEnd"/>
      <w:r w:rsidRPr="00C777BE">
        <w:rPr>
          <w:rFonts w:ascii="Times New Roman" w:hAnsi="Times New Roman" w:cs="Times New Roman"/>
          <w:sz w:val="20"/>
          <w:szCs w:val="20"/>
        </w:rPr>
        <w:t xml:space="preserve"> and </w:t>
      </w:r>
      <w:proofErr w:type="spellStart"/>
      <w:r w:rsidRPr="00C777BE">
        <w:rPr>
          <w:rFonts w:ascii="Times New Roman" w:hAnsi="Times New Roman" w:cs="Times New Roman"/>
          <w:sz w:val="20"/>
          <w:szCs w:val="20"/>
        </w:rPr>
        <w:t>Saccenti</w:t>
      </w:r>
      <w:proofErr w:type="spellEnd"/>
      <w:r w:rsidRPr="00C777BE">
        <w:rPr>
          <w:rFonts w:ascii="Times New Roman" w:hAnsi="Times New Roman" w:cs="Times New Roman"/>
          <w:sz w:val="20"/>
          <w:szCs w:val="20"/>
        </w:rPr>
        <w:t xml:space="preserve">, 2022). The top 30 genera were identified and </w:t>
      </w:r>
      <w:r w:rsidRPr="00C777BE">
        <w:rPr>
          <w:rFonts w:ascii="Times New Roman" w:hAnsi="Times New Roman" w:cs="Times New Roman"/>
          <w:sz w:val="20"/>
          <w:szCs w:val="20"/>
        </w:rPr>
        <w:lastRenderedPageBreak/>
        <w:t xml:space="preserve">visualized using stacked bar plots and heatmaps, including log-transformed data. Faceted plots were generated to allow metadata-driven comparisons (Gloor et al., 2017; Tkacz et al., 2018). </w:t>
      </w:r>
    </w:p>
    <w:p w14:paraId="12AAE087" w14:textId="122DB27D" w:rsidR="00C777BE" w:rsidRPr="00C777BE" w:rsidRDefault="00DB6B9A" w:rsidP="00123974">
      <w:pPr>
        <w:spacing w:after="80" w:line="360" w:lineRule="auto"/>
        <w:rPr>
          <w:rFonts w:ascii="Times New Roman" w:hAnsi="Times New Roman" w:cs="Times New Roman"/>
          <w:sz w:val="20"/>
          <w:szCs w:val="20"/>
        </w:rPr>
      </w:pPr>
      <w:r>
        <w:rPr>
          <w:rFonts w:ascii="Times New Roman" w:hAnsi="Times New Roman" w:cs="Times New Roman"/>
          <w:sz w:val="20"/>
          <w:szCs w:val="20"/>
        </w:rPr>
        <w:t>β-Diversity</w:t>
      </w:r>
      <w:r>
        <w:rPr>
          <w:rFonts w:ascii="Times New Roman" w:hAnsi="Times New Roman" w:cs="Times New Roman" w:hint="eastAsia"/>
          <w:sz w:val="20"/>
          <w:szCs w:val="20"/>
        </w:rPr>
        <w:t xml:space="preserve"> was evaluated using with Jaccard distances, Bray-Curtis distances, Unweighted </w:t>
      </w:r>
      <w:proofErr w:type="spellStart"/>
      <w:r>
        <w:rPr>
          <w:rFonts w:ascii="Times New Roman" w:hAnsi="Times New Roman" w:cs="Times New Roman" w:hint="eastAsia"/>
          <w:sz w:val="20"/>
          <w:szCs w:val="20"/>
        </w:rPr>
        <w:t>Unifac</w:t>
      </w:r>
      <w:proofErr w:type="spellEnd"/>
      <w:r>
        <w:rPr>
          <w:rFonts w:ascii="Times New Roman" w:hAnsi="Times New Roman" w:cs="Times New Roman" w:hint="eastAsia"/>
          <w:sz w:val="20"/>
          <w:szCs w:val="20"/>
        </w:rPr>
        <w:t xml:space="preserve"> distances and Weighted </w:t>
      </w:r>
      <w:proofErr w:type="spellStart"/>
      <w:r>
        <w:rPr>
          <w:rFonts w:ascii="Times New Roman" w:hAnsi="Times New Roman" w:cs="Times New Roman" w:hint="eastAsia"/>
          <w:sz w:val="20"/>
          <w:szCs w:val="20"/>
        </w:rPr>
        <w:t>Unifac</w:t>
      </w:r>
      <w:proofErr w:type="spellEnd"/>
      <w:r>
        <w:rPr>
          <w:rFonts w:ascii="Times New Roman" w:hAnsi="Times New Roman" w:cs="Times New Roman" w:hint="eastAsia"/>
          <w:sz w:val="20"/>
          <w:szCs w:val="20"/>
        </w:rPr>
        <w:t xml:space="preserve"> distances</w:t>
      </w:r>
      <w:r w:rsidR="00C777BE" w:rsidRPr="00C777BE">
        <w:rPr>
          <w:rFonts w:ascii="Times New Roman" w:hAnsi="Times New Roman" w:cs="Times New Roman"/>
          <w:sz w:val="20"/>
          <w:szCs w:val="20"/>
        </w:rPr>
        <w:t xml:space="preserve">. Ordination plots were generated to compare microbial communities based on Treatment, Location, Biofilm age and the presence or absence of </w:t>
      </w:r>
      <w:r w:rsidR="00C777BE" w:rsidRPr="00C777BE">
        <w:rPr>
          <w:rFonts w:ascii="Times New Roman" w:hAnsi="Times New Roman" w:cs="Times New Roman"/>
          <w:i/>
          <w:iCs/>
          <w:sz w:val="20"/>
          <w:szCs w:val="20"/>
        </w:rPr>
        <w:t>L. pneumophila</w:t>
      </w:r>
      <w:r w:rsidR="00C777BE" w:rsidRPr="00C777BE">
        <w:rPr>
          <w:rFonts w:ascii="Times New Roman" w:hAnsi="Times New Roman" w:cs="Times New Roman"/>
          <w:sz w:val="20"/>
          <w:szCs w:val="20"/>
        </w:rPr>
        <w:t xml:space="preserve">. PERMANOVA was used to assess significant group differences, supported by relative abundance and variance-stabilized data. </w:t>
      </w:r>
      <w:proofErr w:type="gramStart"/>
      <w:r w:rsidR="00C777BE" w:rsidRPr="00C777BE">
        <w:rPr>
          <w:rFonts w:ascii="Times New Roman" w:hAnsi="Times New Roman" w:cs="Times New Roman"/>
          <w:sz w:val="20"/>
          <w:szCs w:val="20"/>
        </w:rPr>
        <w:t>Genus</w:t>
      </w:r>
      <w:proofErr w:type="gramEnd"/>
      <w:r w:rsidR="00C777BE" w:rsidRPr="00C777BE">
        <w:rPr>
          <w:rFonts w:ascii="Times New Roman" w:hAnsi="Times New Roman" w:cs="Times New Roman"/>
          <w:sz w:val="20"/>
          <w:szCs w:val="20"/>
        </w:rPr>
        <w:t xml:space="preserve"> richness was also analyzed by filtering, counting, and visualizing unique genera per sample.</w:t>
      </w:r>
    </w:p>
    <w:p w14:paraId="40745989" w14:textId="77777777" w:rsidR="00C777BE" w:rsidRDefault="00C777BE" w:rsidP="00123974">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 xml:space="preserve">The analysis of metal ions such as calcium (Ca), copper (Cu), and iron (Fe) followed a three-step process. First, metal concentrations were log-transformed, missing values were removed, and categorical metadata variables were converted into factors. Second, alpha diversity metrics (Observed ASVs, Shannon index, Simpson index) were computing using the </w:t>
      </w:r>
      <w:proofErr w:type="spellStart"/>
      <w:r w:rsidRPr="00C777BE">
        <w:rPr>
          <w:rFonts w:ascii="Times New Roman" w:hAnsi="Times New Roman" w:cs="Times New Roman"/>
          <w:sz w:val="20"/>
          <w:szCs w:val="20"/>
        </w:rPr>
        <w:t>phyloseq</w:t>
      </w:r>
      <w:proofErr w:type="spellEnd"/>
      <w:r w:rsidRPr="00C777BE">
        <w:rPr>
          <w:rFonts w:ascii="Times New Roman" w:hAnsi="Times New Roman" w:cs="Times New Roman"/>
          <w:sz w:val="20"/>
          <w:szCs w:val="20"/>
        </w:rPr>
        <w:t xml:space="preserve"> package, merged with the metal ion dataset, and visualized via scatter plots with Pearson correlation coefficients to assess relationships. Third, beta diversity was analyzed by computing Bray-</w:t>
      </w:r>
      <w:proofErr w:type="gramStart"/>
      <w:r w:rsidRPr="00C777BE">
        <w:rPr>
          <w:rFonts w:ascii="Times New Roman" w:hAnsi="Times New Roman" w:cs="Times New Roman"/>
          <w:sz w:val="20"/>
          <w:szCs w:val="20"/>
        </w:rPr>
        <w:t>Curtis</w:t>
      </w:r>
      <w:proofErr w:type="gramEnd"/>
      <w:r w:rsidRPr="00C777BE">
        <w:rPr>
          <w:rFonts w:ascii="Times New Roman" w:hAnsi="Times New Roman" w:cs="Times New Roman"/>
          <w:sz w:val="20"/>
          <w:szCs w:val="20"/>
        </w:rPr>
        <w:t xml:space="preserve"> dissimilarities, followed by PERMANOVA to test for effects of metal ions and sample groupings (e.g., Treatment, Location). Ordination plots (</w:t>
      </w:r>
      <w:proofErr w:type="spellStart"/>
      <w:r w:rsidRPr="00C777BE">
        <w:rPr>
          <w:rFonts w:ascii="Times New Roman" w:hAnsi="Times New Roman" w:cs="Times New Roman"/>
          <w:sz w:val="20"/>
          <w:szCs w:val="20"/>
        </w:rPr>
        <w:t>PCoA</w:t>
      </w:r>
      <w:proofErr w:type="spellEnd"/>
      <w:r w:rsidRPr="00C777BE">
        <w:rPr>
          <w:rFonts w:ascii="Times New Roman" w:hAnsi="Times New Roman" w:cs="Times New Roman"/>
          <w:sz w:val="20"/>
          <w:szCs w:val="20"/>
        </w:rPr>
        <w:t>, NMDS) with environmental vector fitting were used to visualize associations between microbial community structure and metal ion concentrations.</w:t>
      </w:r>
    </w:p>
    <w:p w14:paraId="3895BE25" w14:textId="758ECE19" w:rsidR="00DB6B9A" w:rsidRPr="00C777BE" w:rsidRDefault="00DB6B9A" w:rsidP="00123974">
      <w:pPr>
        <w:spacing w:after="80" w:line="360" w:lineRule="auto"/>
        <w:rPr>
          <w:rFonts w:ascii="Times New Roman" w:hAnsi="Times New Roman" w:cs="Times New Roman"/>
          <w:sz w:val="20"/>
          <w:szCs w:val="20"/>
        </w:rPr>
      </w:pPr>
      <w:r w:rsidRPr="00DB6B9A">
        <w:rPr>
          <w:rFonts w:ascii="Times New Roman" w:hAnsi="Times New Roman" w:cs="Times New Roman"/>
          <w:sz w:val="20"/>
          <w:szCs w:val="20"/>
        </w:rPr>
        <w:t xml:space="preserve">Functional profiles of microbial communities were inferred from the 16S rRNA gene data using PICRUSt2 pipeline (v2.6.2)18. To do so, the ASV abundance table and representative sequences were used as input. ASVs were placed into a reference phylogeny, followed by hidden-state prediction of gene families. The predicted metagenome was stratified to obtain KEGG </w:t>
      </w:r>
      <w:proofErr w:type="spellStart"/>
      <w:r w:rsidRPr="00DB6B9A">
        <w:rPr>
          <w:rFonts w:ascii="Times New Roman" w:hAnsi="Times New Roman" w:cs="Times New Roman"/>
          <w:sz w:val="20"/>
          <w:szCs w:val="20"/>
        </w:rPr>
        <w:t>Orthology</w:t>
      </w:r>
      <w:proofErr w:type="spellEnd"/>
      <w:r w:rsidRPr="00DB6B9A">
        <w:rPr>
          <w:rFonts w:ascii="Times New Roman" w:hAnsi="Times New Roman" w:cs="Times New Roman"/>
          <w:sz w:val="20"/>
          <w:szCs w:val="20"/>
        </w:rPr>
        <w:t xml:space="preserve"> (KO) abundances, and pathway-level abundances were subsequently inferred. The accuracy of the predictions for each sample was assessed using the weighted Nearest Sequenced Taxon Index (NSTI). To determine the impact of different interventions on the functional potential of the biofilm community, we performed a differential abundance analysis on the KEGG </w:t>
      </w:r>
      <w:proofErr w:type="spellStart"/>
      <w:r w:rsidRPr="00DB6B9A">
        <w:rPr>
          <w:rFonts w:ascii="Times New Roman" w:hAnsi="Times New Roman" w:cs="Times New Roman"/>
          <w:sz w:val="20"/>
          <w:szCs w:val="20"/>
        </w:rPr>
        <w:t>Orthology</w:t>
      </w:r>
      <w:proofErr w:type="spellEnd"/>
      <w:r w:rsidRPr="00DB6B9A">
        <w:rPr>
          <w:rFonts w:ascii="Times New Roman" w:hAnsi="Times New Roman" w:cs="Times New Roman"/>
          <w:sz w:val="20"/>
          <w:szCs w:val="20"/>
        </w:rPr>
        <w:t xml:space="preserve"> (KO), Enzyme Commission number (EC) and Pathway abundance table generated by PICRUSt2. The analysis was conducted using the ANCOMBC R package, implementing the ANCOM-BC2 algorithm20. KOs, ECs and pathways with a Benjamini-Hochberg adjusted p-value of &lt; 0.05 were considered significantly differentially abundant.</w:t>
      </w:r>
    </w:p>
    <w:p w14:paraId="4A9BA2FA" w14:textId="0CBC215E" w:rsidR="00C777BE" w:rsidRPr="00C777BE" w:rsidRDefault="00C777BE" w:rsidP="00123974">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 xml:space="preserve">The influence of metal ions (including Ca, Cu, Fe, Zn, Ag, and Pb) on microbial diversity was investigated. Metal concentrations underwent log transformation. The link between alpha diversity indices (such as Observed ASVs, Shannon index, and Simpson index) and the log - transformed metal data was examined. This was done using Pearson correlation analysis and scatter plots. To assess beta diversity, Bray - Curtis distances were calculated. PERMANOVA was used to examine how metals and factors like treatment and sampling location affected the microbial community. Ordination plots, specifically </w:t>
      </w:r>
      <w:proofErr w:type="spellStart"/>
      <w:r w:rsidRPr="00C777BE">
        <w:rPr>
          <w:rFonts w:ascii="Times New Roman" w:hAnsi="Times New Roman" w:cs="Times New Roman"/>
          <w:sz w:val="20"/>
          <w:szCs w:val="20"/>
        </w:rPr>
        <w:t>PCoA</w:t>
      </w:r>
      <w:proofErr w:type="spellEnd"/>
      <w:r w:rsidRPr="00C777BE">
        <w:rPr>
          <w:rFonts w:ascii="Times New Roman" w:hAnsi="Times New Roman" w:cs="Times New Roman"/>
          <w:sz w:val="20"/>
          <w:szCs w:val="20"/>
        </w:rPr>
        <w:t xml:space="preserve"> and NMDS, along with </w:t>
      </w:r>
      <w:proofErr w:type="spellStart"/>
      <w:r w:rsidRPr="00C777BE">
        <w:rPr>
          <w:rFonts w:ascii="Times New Roman" w:hAnsi="Times New Roman" w:cs="Times New Roman"/>
          <w:sz w:val="20"/>
          <w:szCs w:val="20"/>
        </w:rPr>
        <w:t>envfit</w:t>
      </w:r>
      <w:proofErr w:type="spellEnd"/>
      <w:r w:rsidRPr="00C777BE">
        <w:rPr>
          <w:rFonts w:ascii="Times New Roman" w:hAnsi="Times New Roman" w:cs="Times New Roman"/>
          <w:sz w:val="20"/>
          <w:szCs w:val="20"/>
        </w:rPr>
        <w:t xml:space="preserve"> analysis, were used to emphasize the impact of metals on the microbial community structure. All these statistical and visualization analyses were carried out in the R environment with the help of packages such as </w:t>
      </w:r>
      <w:proofErr w:type="spellStart"/>
      <w:r w:rsidRPr="00C777BE">
        <w:rPr>
          <w:rFonts w:ascii="Times New Roman" w:hAnsi="Times New Roman" w:cs="Times New Roman"/>
          <w:sz w:val="20"/>
          <w:szCs w:val="20"/>
        </w:rPr>
        <w:t>phyloseq</w:t>
      </w:r>
      <w:proofErr w:type="spellEnd"/>
      <w:r w:rsidRPr="00C777BE">
        <w:rPr>
          <w:rFonts w:ascii="Times New Roman" w:hAnsi="Times New Roman" w:cs="Times New Roman"/>
          <w:sz w:val="20"/>
          <w:szCs w:val="20"/>
        </w:rPr>
        <w:t>, vegan, and ggplot2.</w:t>
      </w:r>
    </w:p>
    <w:p w14:paraId="4FC8323A" w14:textId="77777777" w:rsidR="00C777BE" w:rsidRPr="00C777BE" w:rsidRDefault="00C777BE" w:rsidP="00123974">
      <w:pPr>
        <w:spacing w:after="80" w:line="360" w:lineRule="auto"/>
        <w:rPr>
          <w:rFonts w:ascii="Times New Roman" w:hAnsi="Times New Roman" w:cs="Times New Roman"/>
          <w:sz w:val="20"/>
          <w:szCs w:val="20"/>
        </w:rPr>
      </w:pPr>
      <w:r w:rsidRPr="00C777BE">
        <w:rPr>
          <w:rFonts w:ascii="Times New Roman" w:hAnsi="Times New Roman" w:cs="Times New Roman"/>
          <w:sz w:val="20"/>
          <w:szCs w:val="20"/>
        </w:rPr>
        <w:t xml:space="preserve">Spearman correlations were calculated between the summed abundance of </w:t>
      </w:r>
      <w:r w:rsidRPr="00C777BE">
        <w:rPr>
          <w:rFonts w:ascii="Times New Roman" w:hAnsi="Times New Roman" w:cs="Times New Roman"/>
          <w:i/>
          <w:iCs/>
          <w:sz w:val="20"/>
          <w:szCs w:val="20"/>
        </w:rPr>
        <w:t>L. pneumophila</w:t>
      </w:r>
      <w:r w:rsidRPr="00C777BE">
        <w:rPr>
          <w:rFonts w:ascii="Times New Roman" w:hAnsi="Times New Roman" w:cs="Times New Roman"/>
          <w:sz w:val="20"/>
          <w:szCs w:val="20"/>
        </w:rPr>
        <w:t xml:space="preserve"> and </w:t>
      </w:r>
      <w:r w:rsidRPr="00C777BE">
        <w:rPr>
          <w:rFonts w:ascii="Times New Roman" w:hAnsi="Times New Roman" w:cs="Times New Roman"/>
          <w:i/>
          <w:iCs/>
          <w:sz w:val="20"/>
          <w:szCs w:val="20"/>
        </w:rPr>
        <w:t xml:space="preserve">L. anisa </w:t>
      </w:r>
      <w:r w:rsidRPr="00C777BE">
        <w:rPr>
          <w:rFonts w:ascii="Times New Roman" w:hAnsi="Times New Roman" w:cs="Times New Roman"/>
          <w:sz w:val="20"/>
          <w:szCs w:val="20"/>
        </w:rPr>
        <w:t xml:space="preserve">and the top 30 other genera, across all samples and untreated samples separately. Genera showing significant correlations with </w:t>
      </w:r>
      <w:r w:rsidRPr="00C777BE">
        <w:rPr>
          <w:rFonts w:ascii="Times New Roman" w:hAnsi="Times New Roman" w:cs="Times New Roman"/>
          <w:i/>
          <w:iCs/>
          <w:sz w:val="20"/>
          <w:szCs w:val="20"/>
        </w:rPr>
        <w:t>L. pneumophil</w:t>
      </w:r>
      <w:r w:rsidRPr="00C777BE">
        <w:rPr>
          <w:rFonts w:ascii="Times New Roman" w:hAnsi="Times New Roman" w:cs="Times New Roman"/>
          <w:sz w:val="20"/>
          <w:szCs w:val="20"/>
        </w:rPr>
        <w:t xml:space="preserve">a and </w:t>
      </w:r>
      <w:r w:rsidRPr="00C777BE">
        <w:rPr>
          <w:rFonts w:ascii="Times New Roman" w:hAnsi="Times New Roman" w:cs="Times New Roman"/>
          <w:i/>
          <w:iCs/>
          <w:sz w:val="20"/>
          <w:szCs w:val="20"/>
        </w:rPr>
        <w:t xml:space="preserve">L. anisa </w:t>
      </w:r>
      <w:r w:rsidRPr="00C777BE">
        <w:rPr>
          <w:rFonts w:ascii="Times New Roman" w:hAnsi="Times New Roman" w:cs="Times New Roman"/>
          <w:sz w:val="20"/>
          <w:szCs w:val="20"/>
        </w:rPr>
        <w:t>were further analyzed. Changes in their log-transformed abundance across treatment groups were tested using Kruskal-Wallis and pairwise Wilcoxon tests.</w:t>
      </w:r>
    </w:p>
    <w:p w14:paraId="745B2A1B" w14:textId="04478EAF" w:rsidR="00DB6B9A" w:rsidRDefault="00DB6B9A" w:rsidP="00DB6B9A">
      <w:pPr>
        <w:spacing w:line="480" w:lineRule="auto"/>
        <w:rPr>
          <w:rFonts w:ascii="Times New Roman" w:hAnsi="Times New Roman" w:cs="Times New Roman"/>
          <w:sz w:val="20"/>
          <w:szCs w:val="20"/>
        </w:rPr>
      </w:pPr>
    </w:p>
    <w:p w14:paraId="2676ED7D" w14:textId="77777777" w:rsidR="007525E1" w:rsidRPr="00C777BE" w:rsidRDefault="007525E1" w:rsidP="00123974">
      <w:pPr>
        <w:pStyle w:val="Sansinterligne"/>
        <w:spacing w:after="80" w:line="360" w:lineRule="auto"/>
        <w:jc w:val="both"/>
        <w:rPr>
          <w:rFonts w:ascii="Times New Roman" w:hAnsi="Times New Roman" w:cs="Times New Roman"/>
          <w:szCs w:val="20"/>
          <w:lang w:val="en-US"/>
        </w:rPr>
      </w:pPr>
    </w:p>
    <w:sectPr w:rsidR="007525E1" w:rsidRPr="00C777BE" w:rsidSect="00C136C1">
      <w:footerReference w:type="default" r:id="rId7"/>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0053F" w14:textId="77777777" w:rsidR="007525E1" w:rsidRDefault="007525E1" w:rsidP="0045030A">
      <w:r>
        <w:separator/>
      </w:r>
    </w:p>
  </w:endnote>
  <w:endnote w:type="continuationSeparator" w:id="0">
    <w:p w14:paraId="18F8D312" w14:textId="77777777" w:rsidR="007525E1" w:rsidRDefault="007525E1" w:rsidP="00450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604953"/>
      <w:docPartObj>
        <w:docPartGallery w:val="Page Numbers (Bottom of Page)"/>
        <w:docPartUnique/>
      </w:docPartObj>
    </w:sdtPr>
    <w:sdtContent>
      <w:p w14:paraId="1F99C7D6" w14:textId="7532ACFB" w:rsidR="00C777BE" w:rsidRDefault="00C777BE">
        <w:pPr>
          <w:pStyle w:val="Pieddepage"/>
          <w:jc w:val="right"/>
        </w:pPr>
        <w:r>
          <w:fldChar w:fldCharType="begin"/>
        </w:r>
        <w:r>
          <w:instrText>PAGE   \* MERGEFORMAT</w:instrText>
        </w:r>
        <w:r>
          <w:fldChar w:fldCharType="separate"/>
        </w:r>
        <w:r>
          <w:rPr>
            <w:lang w:val="fr-FR"/>
          </w:rPr>
          <w:t>2</w:t>
        </w:r>
        <w:r>
          <w:fldChar w:fldCharType="end"/>
        </w:r>
      </w:p>
    </w:sdtContent>
  </w:sdt>
  <w:p w14:paraId="1551EBF4" w14:textId="77777777" w:rsidR="0045030A" w:rsidRDefault="0045030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AE3D0" w14:textId="77777777" w:rsidR="007525E1" w:rsidRDefault="007525E1" w:rsidP="0045030A">
      <w:r>
        <w:separator/>
      </w:r>
    </w:p>
  </w:footnote>
  <w:footnote w:type="continuationSeparator" w:id="0">
    <w:p w14:paraId="7A0BF4FA" w14:textId="77777777" w:rsidR="007525E1" w:rsidRDefault="007525E1" w:rsidP="004503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5E1"/>
    <w:rsid w:val="00016CA4"/>
    <w:rsid w:val="00067592"/>
    <w:rsid w:val="000F0D32"/>
    <w:rsid w:val="00123974"/>
    <w:rsid w:val="00281E53"/>
    <w:rsid w:val="002E1FA8"/>
    <w:rsid w:val="002F25FA"/>
    <w:rsid w:val="003B7545"/>
    <w:rsid w:val="003C5DEC"/>
    <w:rsid w:val="0045030A"/>
    <w:rsid w:val="005F5151"/>
    <w:rsid w:val="00664266"/>
    <w:rsid w:val="00747486"/>
    <w:rsid w:val="007525E1"/>
    <w:rsid w:val="0084535D"/>
    <w:rsid w:val="00906E2C"/>
    <w:rsid w:val="00A172E4"/>
    <w:rsid w:val="00A554B8"/>
    <w:rsid w:val="00A9020A"/>
    <w:rsid w:val="00B05329"/>
    <w:rsid w:val="00B443F8"/>
    <w:rsid w:val="00B54668"/>
    <w:rsid w:val="00BE53B6"/>
    <w:rsid w:val="00C136C1"/>
    <w:rsid w:val="00C777BE"/>
    <w:rsid w:val="00CB0AEE"/>
    <w:rsid w:val="00CC51E5"/>
    <w:rsid w:val="00D60C21"/>
    <w:rsid w:val="00DB6B9A"/>
    <w:rsid w:val="00E11D72"/>
    <w:rsid w:val="00F23726"/>
    <w:rsid w:val="00F86033"/>
    <w:rsid w:val="00FE1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D2F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7BE"/>
    <w:pPr>
      <w:widowControl w:val="0"/>
      <w:jc w:val="both"/>
    </w:pPr>
    <w:rPr>
      <w:rFonts w:asciiTheme="minorHAnsi" w:eastAsiaTheme="minorEastAsia" w:hAnsiTheme="minorHAnsi"/>
      <w:sz w:val="21"/>
      <w:szCs w:val="24"/>
      <w:lang w:eastAsia="zh-CN"/>
      <w14:ligatures w14:val="none"/>
    </w:rPr>
  </w:style>
  <w:style w:type="paragraph" w:styleId="Titre1">
    <w:name w:val="heading 1"/>
    <w:basedOn w:val="Normal"/>
    <w:next w:val="Normal"/>
    <w:link w:val="Titre1Car"/>
    <w:uiPriority w:val="9"/>
    <w:qFormat/>
    <w:rsid w:val="007525E1"/>
    <w:pPr>
      <w:keepNext/>
      <w:keepLines/>
      <w:spacing w:before="360" w:after="80"/>
      <w:outlineLvl w:val="0"/>
    </w:pPr>
    <w:rPr>
      <w:rFonts w:asciiTheme="majorHAnsi" w:eastAsiaTheme="majorEastAsia" w:hAnsiTheme="majorHAnsi" w:cstheme="majorBidi"/>
      <w:color w:val="9D3511" w:themeColor="accent1" w:themeShade="BF"/>
      <w:sz w:val="40"/>
      <w:szCs w:val="40"/>
    </w:rPr>
  </w:style>
  <w:style w:type="paragraph" w:styleId="Titre2">
    <w:name w:val="heading 2"/>
    <w:basedOn w:val="Normal"/>
    <w:next w:val="Normal"/>
    <w:link w:val="Titre2Car"/>
    <w:uiPriority w:val="9"/>
    <w:semiHidden/>
    <w:unhideWhenUsed/>
    <w:qFormat/>
    <w:rsid w:val="007525E1"/>
    <w:pPr>
      <w:keepNext/>
      <w:keepLines/>
      <w:spacing w:before="160" w:after="80"/>
      <w:outlineLvl w:val="1"/>
    </w:pPr>
    <w:rPr>
      <w:rFonts w:asciiTheme="majorHAnsi" w:eastAsiaTheme="majorEastAsia" w:hAnsiTheme="majorHAnsi" w:cstheme="majorBidi"/>
      <w:color w:val="9D3511" w:themeColor="accent1" w:themeShade="BF"/>
      <w:sz w:val="32"/>
      <w:szCs w:val="32"/>
    </w:rPr>
  </w:style>
  <w:style w:type="paragraph" w:styleId="Titre3">
    <w:name w:val="heading 3"/>
    <w:basedOn w:val="Normal"/>
    <w:next w:val="Normal"/>
    <w:link w:val="Titre3Car"/>
    <w:uiPriority w:val="9"/>
    <w:semiHidden/>
    <w:unhideWhenUsed/>
    <w:qFormat/>
    <w:rsid w:val="007525E1"/>
    <w:pPr>
      <w:keepNext/>
      <w:keepLines/>
      <w:spacing w:before="160" w:after="80"/>
      <w:outlineLvl w:val="2"/>
    </w:pPr>
    <w:rPr>
      <w:rFonts w:eastAsiaTheme="majorEastAsia" w:cstheme="majorBidi"/>
      <w:color w:val="9D3511" w:themeColor="accent1" w:themeShade="BF"/>
      <w:sz w:val="28"/>
      <w:szCs w:val="28"/>
    </w:rPr>
  </w:style>
  <w:style w:type="paragraph" w:styleId="Titre4">
    <w:name w:val="heading 4"/>
    <w:basedOn w:val="Normal"/>
    <w:next w:val="Normal"/>
    <w:link w:val="Titre4Car"/>
    <w:uiPriority w:val="9"/>
    <w:semiHidden/>
    <w:unhideWhenUsed/>
    <w:qFormat/>
    <w:rsid w:val="007525E1"/>
    <w:pPr>
      <w:keepNext/>
      <w:keepLines/>
      <w:spacing w:before="80" w:after="40"/>
      <w:outlineLvl w:val="3"/>
    </w:pPr>
    <w:rPr>
      <w:rFonts w:eastAsiaTheme="majorEastAsia" w:cstheme="majorBidi"/>
      <w:i/>
      <w:iCs/>
      <w:color w:val="9D3511" w:themeColor="accent1" w:themeShade="BF"/>
    </w:rPr>
  </w:style>
  <w:style w:type="paragraph" w:styleId="Titre5">
    <w:name w:val="heading 5"/>
    <w:basedOn w:val="Normal"/>
    <w:next w:val="Normal"/>
    <w:link w:val="Titre5Car"/>
    <w:uiPriority w:val="9"/>
    <w:semiHidden/>
    <w:unhideWhenUsed/>
    <w:qFormat/>
    <w:rsid w:val="007525E1"/>
    <w:pPr>
      <w:keepNext/>
      <w:keepLines/>
      <w:spacing w:before="80" w:after="40"/>
      <w:outlineLvl w:val="4"/>
    </w:pPr>
    <w:rPr>
      <w:rFonts w:eastAsiaTheme="majorEastAsia" w:cstheme="majorBidi"/>
      <w:color w:val="9D3511" w:themeColor="accent1" w:themeShade="BF"/>
    </w:rPr>
  </w:style>
  <w:style w:type="paragraph" w:styleId="Titre6">
    <w:name w:val="heading 6"/>
    <w:basedOn w:val="Normal"/>
    <w:next w:val="Normal"/>
    <w:link w:val="Titre6Car"/>
    <w:uiPriority w:val="9"/>
    <w:semiHidden/>
    <w:unhideWhenUsed/>
    <w:qFormat/>
    <w:rsid w:val="007525E1"/>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525E1"/>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525E1"/>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525E1"/>
    <w:pPr>
      <w:keepNext/>
      <w:keepLines/>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84535D"/>
    <w:rPr>
      <w:lang w:val="fr-CH"/>
    </w:rPr>
  </w:style>
  <w:style w:type="paragraph" w:styleId="En-tte">
    <w:name w:val="header"/>
    <w:basedOn w:val="Normal"/>
    <w:link w:val="En-tteCar"/>
    <w:uiPriority w:val="99"/>
    <w:unhideWhenUsed/>
    <w:rsid w:val="0045030A"/>
    <w:pPr>
      <w:tabs>
        <w:tab w:val="center" w:pos="4536"/>
        <w:tab w:val="right" w:pos="9072"/>
      </w:tabs>
    </w:pPr>
  </w:style>
  <w:style w:type="character" w:customStyle="1" w:styleId="En-tteCar">
    <w:name w:val="En-tête Car"/>
    <w:basedOn w:val="Policepardfaut"/>
    <w:link w:val="En-tte"/>
    <w:uiPriority w:val="99"/>
    <w:rsid w:val="0045030A"/>
  </w:style>
  <w:style w:type="paragraph" w:styleId="Pieddepage">
    <w:name w:val="footer"/>
    <w:basedOn w:val="Normal"/>
    <w:link w:val="PieddepageCar"/>
    <w:uiPriority w:val="99"/>
    <w:unhideWhenUsed/>
    <w:rsid w:val="0045030A"/>
    <w:pPr>
      <w:tabs>
        <w:tab w:val="center" w:pos="4536"/>
        <w:tab w:val="right" w:pos="9072"/>
      </w:tabs>
    </w:pPr>
  </w:style>
  <w:style w:type="character" w:customStyle="1" w:styleId="PieddepageCar">
    <w:name w:val="Pied de page Car"/>
    <w:basedOn w:val="Policepardfaut"/>
    <w:link w:val="Pieddepage"/>
    <w:uiPriority w:val="99"/>
    <w:rsid w:val="0045030A"/>
  </w:style>
  <w:style w:type="character" w:customStyle="1" w:styleId="Titre1Car">
    <w:name w:val="Titre 1 Car"/>
    <w:basedOn w:val="Policepardfaut"/>
    <w:link w:val="Titre1"/>
    <w:uiPriority w:val="9"/>
    <w:rsid w:val="007525E1"/>
    <w:rPr>
      <w:rFonts w:asciiTheme="majorHAnsi" w:eastAsiaTheme="majorEastAsia" w:hAnsiTheme="majorHAnsi" w:cstheme="majorBidi"/>
      <w:color w:val="9D3511" w:themeColor="accent1" w:themeShade="BF"/>
      <w:sz w:val="40"/>
      <w:szCs w:val="40"/>
      <w:lang w:val="en-GB"/>
    </w:rPr>
  </w:style>
  <w:style w:type="character" w:customStyle="1" w:styleId="Titre2Car">
    <w:name w:val="Titre 2 Car"/>
    <w:basedOn w:val="Policepardfaut"/>
    <w:link w:val="Titre2"/>
    <w:uiPriority w:val="9"/>
    <w:semiHidden/>
    <w:rsid w:val="007525E1"/>
    <w:rPr>
      <w:rFonts w:asciiTheme="majorHAnsi" w:eastAsiaTheme="majorEastAsia" w:hAnsiTheme="majorHAnsi" w:cstheme="majorBidi"/>
      <w:color w:val="9D3511" w:themeColor="accent1" w:themeShade="BF"/>
      <w:sz w:val="32"/>
      <w:szCs w:val="32"/>
      <w:lang w:val="en-GB"/>
    </w:rPr>
  </w:style>
  <w:style w:type="character" w:customStyle="1" w:styleId="Titre3Car">
    <w:name w:val="Titre 3 Car"/>
    <w:basedOn w:val="Policepardfaut"/>
    <w:link w:val="Titre3"/>
    <w:uiPriority w:val="9"/>
    <w:semiHidden/>
    <w:rsid w:val="007525E1"/>
    <w:rPr>
      <w:rFonts w:asciiTheme="minorHAnsi" w:eastAsiaTheme="majorEastAsia" w:hAnsiTheme="minorHAnsi" w:cstheme="majorBidi"/>
      <w:color w:val="9D3511" w:themeColor="accent1" w:themeShade="BF"/>
      <w:sz w:val="28"/>
      <w:szCs w:val="28"/>
      <w:lang w:val="en-GB"/>
    </w:rPr>
  </w:style>
  <w:style w:type="character" w:customStyle="1" w:styleId="Titre4Car">
    <w:name w:val="Titre 4 Car"/>
    <w:basedOn w:val="Policepardfaut"/>
    <w:link w:val="Titre4"/>
    <w:uiPriority w:val="9"/>
    <w:semiHidden/>
    <w:rsid w:val="007525E1"/>
    <w:rPr>
      <w:rFonts w:asciiTheme="minorHAnsi" w:eastAsiaTheme="majorEastAsia" w:hAnsiTheme="minorHAnsi" w:cstheme="majorBidi"/>
      <w:i/>
      <w:iCs/>
      <w:color w:val="9D3511" w:themeColor="accent1" w:themeShade="BF"/>
      <w:lang w:val="en-GB"/>
    </w:rPr>
  </w:style>
  <w:style w:type="character" w:customStyle="1" w:styleId="Titre5Car">
    <w:name w:val="Titre 5 Car"/>
    <w:basedOn w:val="Policepardfaut"/>
    <w:link w:val="Titre5"/>
    <w:uiPriority w:val="9"/>
    <w:semiHidden/>
    <w:rsid w:val="007525E1"/>
    <w:rPr>
      <w:rFonts w:asciiTheme="minorHAnsi" w:eastAsiaTheme="majorEastAsia" w:hAnsiTheme="minorHAnsi" w:cstheme="majorBidi"/>
      <w:color w:val="9D3511" w:themeColor="accent1" w:themeShade="BF"/>
      <w:lang w:val="en-GB"/>
    </w:rPr>
  </w:style>
  <w:style w:type="character" w:customStyle="1" w:styleId="Titre6Car">
    <w:name w:val="Titre 6 Car"/>
    <w:basedOn w:val="Policepardfaut"/>
    <w:link w:val="Titre6"/>
    <w:uiPriority w:val="9"/>
    <w:semiHidden/>
    <w:rsid w:val="007525E1"/>
    <w:rPr>
      <w:rFonts w:asciiTheme="minorHAnsi" w:eastAsiaTheme="majorEastAsia" w:hAnsiTheme="minorHAnsi" w:cstheme="majorBidi"/>
      <w:i/>
      <w:iCs/>
      <w:color w:val="595959" w:themeColor="text1" w:themeTint="A6"/>
      <w:lang w:val="en-GB"/>
    </w:rPr>
  </w:style>
  <w:style w:type="character" w:customStyle="1" w:styleId="Titre7Car">
    <w:name w:val="Titre 7 Car"/>
    <w:basedOn w:val="Policepardfaut"/>
    <w:link w:val="Titre7"/>
    <w:uiPriority w:val="9"/>
    <w:semiHidden/>
    <w:rsid w:val="007525E1"/>
    <w:rPr>
      <w:rFonts w:asciiTheme="minorHAnsi" w:eastAsiaTheme="majorEastAsia" w:hAnsiTheme="minorHAnsi" w:cstheme="majorBidi"/>
      <w:color w:val="595959" w:themeColor="text1" w:themeTint="A6"/>
      <w:lang w:val="en-GB"/>
    </w:rPr>
  </w:style>
  <w:style w:type="character" w:customStyle="1" w:styleId="Titre8Car">
    <w:name w:val="Titre 8 Car"/>
    <w:basedOn w:val="Policepardfaut"/>
    <w:link w:val="Titre8"/>
    <w:uiPriority w:val="9"/>
    <w:semiHidden/>
    <w:rsid w:val="007525E1"/>
    <w:rPr>
      <w:rFonts w:asciiTheme="minorHAnsi" w:eastAsiaTheme="majorEastAsia" w:hAnsiTheme="minorHAnsi" w:cstheme="majorBidi"/>
      <w:i/>
      <w:iCs/>
      <w:color w:val="272727" w:themeColor="text1" w:themeTint="D8"/>
      <w:lang w:val="en-GB"/>
    </w:rPr>
  </w:style>
  <w:style w:type="character" w:customStyle="1" w:styleId="Titre9Car">
    <w:name w:val="Titre 9 Car"/>
    <w:basedOn w:val="Policepardfaut"/>
    <w:link w:val="Titre9"/>
    <w:uiPriority w:val="9"/>
    <w:semiHidden/>
    <w:rsid w:val="007525E1"/>
    <w:rPr>
      <w:rFonts w:asciiTheme="minorHAnsi" w:eastAsiaTheme="majorEastAsia" w:hAnsiTheme="minorHAnsi" w:cstheme="majorBidi"/>
      <w:color w:val="272727" w:themeColor="text1" w:themeTint="D8"/>
      <w:lang w:val="en-GB"/>
    </w:rPr>
  </w:style>
  <w:style w:type="paragraph" w:styleId="Titre">
    <w:name w:val="Title"/>
    <w:basedOn w:val="Normal"/>
    <w:next w:val="Normal"/>
    <w:link w:val="TitreCar"/>
    <w:uiPriority w:val="10"/>
    <w:qFormat/>
    <w:rsid w:val="007525E1"/>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525E1"/>
    <w:rPr>
      <w:rFonts w:asciiTheme="majorHAnsi" w:eastAsiaTheme="majorEastAsia" w:hAnsiTheme="majorHAnsi" w:cstheme="majorBidi"/>
      <w:spacing w:val="-10"/>
      <w:kern w:val="28"/>
      <w:sz w:val="56"/>
      <w:szCs w:val="56"/>
      <w:lang w:val="en-GB"/>
    </w:rPr>
  </w:style>
  <w:style w:type="paragraph" w:styleId="Sous-titre">
    <w:name w:val="Subtitle"/>
    <w:basedOn w:val="Normal"/>
    <w:next w:val="Normal"/>
    <w:link w:val="Sous-titreCar"/>
    <w:uiPriority w:val="11"/>
    <w:qFormat/>
    <w:rsid w:val="007525E1"/>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525E1"/>
    <w:rPr>
      <w:rFonts w:asciiTheme="minorHAnsi" w:eastAsiaTheme="majorEastAsia" w:hAnsiTheme="minorHAnsi" w:cstheme="majorBidi"/>
      <w:color w:val="595959" w:themeColor="text1" w:themeTint="A6"/>
      <w:spacing w:val="15"/>
      <w:sz w:val="28"/>
      <w:szCs w:val="28"/>
      <w:lang w:val="en-GB"/>
    </w:rPr>
  </w:style>
  <w:style w:type="paragraph" w:styleId="Citation">
    <w:name w:val="Quote"/>
    <w:basedOn w:val="Normal"/>
    <w:next w:val="Normal"/>
    <w:link w:val="CitationCar"/>
    <w:uiPriority w:val="29"/>
    <w:qFormat/>
    <w:rsid w:val="007525E1"/>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7525E1"/>
    <w:rPr>
      <w:i/>
      <w:iCs/>
      <w:color w:val="404040" w:themeColor="text1" w:themeTint="BF"/>
      <w:lang w:val="en-GB"/>
    </w:rPr>
  </w:style>
  <w:style w:type="paragraph" w:styleId="Paragraphedeliste">
    <w:name w:val="List Paragraph"/>
    <w:basedOn w:val="Normal"/>
    <w:uiPriority w:val="34"/>
    <w:qFormat/>
    <w:rsid w:val="007525E1"/>
    <w:pPr>
      <w:ind w:left="720"/>
      <w:contextualSpacing/>
    </w:pPr>
  </w:style>
  <w:style w:type="character" w:styleId="Accentuationintense">
    <w:name w:val="Intense Emphasis"/>
    <w:basedOn w:val="Policepardfaut"/>
    <w:uiPriority w:val="21"/>
    <w:qFormat/>
    <w:rsid w:val="007525E1"/>
    <w:rPr>
      <w:i/>
      <w:iCs/>
      <w:color w:val="9D3511" w:themeColor="accent1" w:themeShade="BF"/>
    </w:rPr>
  </w:style>
  <w:style w:type="paragraph" w:styleId="Citationintense">
    <w:name w:val="Intense Quote"/>
    <w:basedOn w:val="Normal"/>
    <w:next w:val="Normal"/>
    <w:link w:val="CitationintenseCar"/>
    <w:uiPriority w:val="30"/>
    <w:qFormat/>
    <w:rsid w:val="007525E1"/>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CitationintenseCar">
    <w:name w:val="Citation intense Car"/>
    <w:basedOn w:val="Policepardfaut"/>
    <w:link w:val="Citationintense"/>
    <w:uiPriority w:val="30"/>
    <w:rsid w:val="007525E1"/>
    <w:rPr>
      <w:i/>
      <w:iCs/>
      <w:color w:val="9D3511" w:themeColor="accent1" w:themeShade="BF"/>
      <w:lang w:val="en-GB"/>
    </w:rPr>
  </w:style>
  <w:style w:type="character" w:styleId="Rfrenceintense">
    <w:name w:val="Intense Reference"/>
    <w:basedOn w:val="Policepardfaut"/>
    <w:uiPriority w:val="32"/>
    <w:qFormat/>
    <w:rsid w:val="007525E1"/>
    <w:rPr>
      <w:b/>
      <w:bCs/>
      <w:smallCaps/>
      <w:color w:val="9D3511" w:themeColor="accent1" w:themeShade="BF"/>
      <w:spacing w:val="5"/>
    </w:rPr>
  </w:style>
  <w:style w:type="character" w:styleId="Lienhypertexte">
    <w:name w:val="Hyperlink"/>
    <w:basedOn w:val="Policepardfaut"/>
    <w:uiPriority w:val="99"/>
    <w:unhideWhenUsed/>
    <w:rsid w:val="007525E1"/>
    <w:rPr>
      <w:color w:val="CC99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93387">
      <w:bodyDiv w:val="1"/>
      <w:marLeft w:val="0"/>
      <w:marRight w:val="0"/>
      <w:marTop w:val="0"/>
      <w:marBottom w:val="0"/>
      <w:divBdr>
        <w:top w:val="none" w:sz="0" w:space="0" w:color="auto"/>
        <w:left w:val="none" w:sz="0" w:space="0" w:color="auto"/>
        <w:bottom w:val="none" w:sz="0" w:space="0" w:color="auto"/>
        <w:right w:val="none" w:sz="0" w:space="0" w:color="auto"/>
      </w:divBdr>
    </w:div>
    <w:div w:id="729351811">
      <w:bodyDiv w:val="1"/>
      <w:marLeft w:val="0"/>
      <w:marRight w:val="0"/>
      <w:marTop w:val="0"/>
      <w:marBottom w:val="0"/>
      <w:divBdr>
        <w:top w:val="none" w:sz="0" w:space="0" w:color="auto"/>
        <w:left w:val="none" w:sz="0" w:space="0" w:color="auto"/>
        <w:bottom w:val="none" w:sz="0" w:space="0" w:color="auto"/>
        <w:right w:val="none" w:sz="0" w:space="0" w:color="auto"/>
      </w:divBdr>
      <w:divsChild>
        <w:div w:id="513769439">
          <w:marLeft w:val="0"/>
          <w:marRight w:val="0"/>
          <w:marTop w:val="0"/>
          <w:marBottom w:val="0"/>
          <w:divBdr>
            <w:top w:val="none" w:sz="0" w:space="0" w:color="auto"/>
            <w:left w:val="none" w:sz="0" w:space="0" w:color="auto"/>
            <w:bottom w:val="none" w:sz="0" w:space="0" w:color="auto"/>
            <w:right w:val="none" w:sz="0" w:space="0" w:color="auto"/>
          </w:divBdr>
        </w:div>
      </w:divsChild>
    </w:div>
    <w:div w:id="928123541">
      <w:bodyDiv w:val="1"/>
      <w:marLeft w:val="0"/>
      <w:marRight w:val="0"/>
      <w:marTop w:val="0"/>
      <w:marBottom w:val="0"/>
      <w:divBdr>
        <w:top w:val="none" w:sz="0" w:space="0" w:color="auto"/>
        <w:left w:val="none" w:sz="0" w:space="0" w:color="auto"/>
        <w:bottom w:val="none" w:sz="0" w:space="0" w:color="auto"/>
        <w:right w:val="none" w:sz="0" w:space="0" w:color="auto"/>
      </w:divBdr>
      <w:divsChild>
        <w:div w:id="1881548080">
          <w:marLeft w:val="0"/>
          <w:marRight w:val="0"/>
          <w:marTop w:val="0"/>
          <w:marBottom w:val="0"/>
          <w:divBdr>
            <w:top w:val="none" w:sz="0" w:space="0" w:color="auto"/>
            <w:left w:val="none" w:sz="0" w:space="0" w:color="auto"/>
            <w:bottom w:val="none" w:sz="0" w:space="0" w:color="auto"/>
            <w:right w:val="none" w:sz="0" w:space="0" w:color="auto"/>
          </w:divBdr>
        </w:div>
      </w:divsChild>
    </w:div>
    <w:div w:id="1127772150">
      <w:bodyDiv w:val="1"/>
      <w:marLeft w:val="0"/>
      <w:marRight w:val="0"/>
      <w:marTop w:val="0"/>
      <w:marBottom w:val="0"/>
      <w:divBdr>
        <w:top w:val="none" w:sz="0" w:space="0" w:color="auto"/>
        <w:left w:val="none" w:sz="0" w:space="0" w:color="auto"/>
        <w:bottom w:val="none" w:sz="0" w:space="0" w:color="auto"/>
        <w:right w:val="none" w:sz="0" w:space="0" w:color="auto"/>
      </w:divBdr>
    </w:div>
    <w:div w:id="1179930137">
      <w:bodyDiv w:val="1"/>
      <w:marLeft w:val="0"/>
      <w:marRight w:val="0"/>
      <w:marTop w:val="0"/>
      <w:marBottom w:val="0"/>
      <w:divBdr>
        <w:top w:val="none" w:sz="0" w:space="0" w:color="auto"/>
        <w:left w:val="none" w:sz="0" w:space="0" w:color="auto"/>
        <w:bottom w:val="none" w:sz="0" w:space="0" w:color="auto"/>
        <w:right w:val="none" w:sz="0" w:space="0" w:color="auto"/>
      </w:divBdr>
    </w:div>
    <w:div w:id="1342664213">
      <w:bodyDiv w:val="1"/>
      <w:marLeft w:val="0"/>
      <w:marRight w:val="0"/>
      <w:marTop w:val="0"/>
      <w:marBottom w:val="0"/>
      <w:divBdr>
        <w:top w:val="none" w:sz="0" w:space="0" w:color="auto"/>
        <w:left w:val="none" w:sz="0" w:space="0" w:color="auto"/>
        <w:bottom w:val="none" w:sz="0" w:space="0" w:color="auto"/>
        <w:right w:val="none" w:sz="0" w:space="0" w:color="auto"/>
      </w:divBdr>
    </w:div>
    <w:div w:id="139620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dpi.com/2673-4672/3/3/2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_CFO_Compétences">
  <a:themeElements>
    <a:clrScheme name="Capitaux">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Bureau">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Thème_CFO_Compétences" id="{F261A1D7-D9B9-4A3E-9604-431426B697CF}" vid="{DDFCCE1E-12A7-46DE-8330-DB367F8B3728}"/>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2563</Words>
  <Characters>14099</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2025-07-30T09:51:00Z</dcterms:created>
  <dcterms:modified xsi:type="dcterms:W3CDTF">2025-07-30T14:45:00Z</dcterms:modified>
</cp:coreProperties>
</file>